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9932d2_6k.htm"/>
      <w:bookmarkStart w:id="1" w:name="kstm2619932d2_6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Material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Baosheng Media Group Holdings Limited, a company formed under the laws of the Cayman Islands (the “Company”), entered into a securities purchase agreement (the “Purchase Agreement”) with High West Partners LLC (the “Investor”), under which, subject to the terms and conditions set forth therein, the Company may sell and issue, in its sole discretion, up to US$30,000,000 of the Company’s ordinary shares, par value US$0.0096 per share (the “Ordinary Shares”), to the Investor from time to time until the Maturity Date specified in the Purchase Agreement. In connection with the Purchase Agreement, the parties also entered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to file a prospectus supplement with the U.S. Securities and Exchange Commission, registering and covering the offering and sale of the Ordinary Shares issued under the Purchase Agreement as well as the Commitment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Ordinary Share for each purchase under the Purchase Agreement will be determined as follows for the various categories of purchases contemplated by the Purchase Agreement: (i) for a “Predetermined Purchase”, 85% of the lowest daily volume weighted average price (“VWAP”) of the Ordinary Shares on the Nasdaq Capital Market over the five consecutive trading days ending on the applicable notice date; (ii) for a “VWAP Purchase”, 97% of the lowest daily VWAP over the three consecutive trading days beginning on the applicable notice date; and (iii) for a “Single Day Purchase”, the average of the three lowest traded prices of the Ordinary Shares on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terminate the Purchase Agreement at any time, without cost or penalty, subject to the terms of the Purchase Agreement. The Investor has agreed that neither it nor any of its agents, representatives or affiliates shall engage in or effect any direct or indirect short-selling or hedging of the Ordinary Shares during any time prior to the termination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proceeds under the Purchase Agreement will depend on the frequency of sales and the number of shares sold to the Investor and the prices at which the Company sells shares to the Investor. The Company expects that any net proceeds it receives from such sales will be used for general corporate purposes, including working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and the Registration Rights Agreement are qualified in their entirety by reference to the full text of the Purchase Agreement and the Registration Rights Agreement, which are attached to this Report of Foreign Private Issuer on Form 6-K as Exhibit 10.1 and Exhibit 10.2,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shall not constitute an offer to sell or a solicitation of an offer to buy any Ordinary Shares, nor shall there be any sale of Ordinary Shares in any state or jurisdiction in which such an offer, solicitation or sale would be unlawful prior to registration or qualification under the securities laws of any such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Exhibits 10.1, Exhibit 10.2 and Exhibit 23.1 hereto, shall be deemed to be incorporated by reference into the registration statement on </w:t>
      </w:r>
      <w:r>
        <w:rPr>
          <w:rFonts w:ascii="Times New Roman;Times;Serif" w:hAnsi="Times New Roman;Times;Serif"/>
          <w:b w:val="false"/>
          <w:i w:val="false"/>
          <w:caps w:val="false"/>
          <w:smallCaps w:val="false"/>
          <w:sz w:val="20"/>
          <w:u w:val="single"/>
        </w:rPr>
        <w:t>Form F-3 (File No. 333-273720)</w:t>
      </w:r>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tm2619932d2_ex10-1.htm">
              <w:r>
                <w:rPr>
                  <w:rStyle w:val="InternetLink"/>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19932d2_ex10-1.htm">
              <w:r>
                <w:rPr>
                  <w:rStyle w:val="InternetLink"/>
                  <w:sz w:val="20"/>
                </w:rPr>
                <w:t>Securities Purchase Agreement, dated July 10, 2026, between Baosheng Media Group Holdings Limited and High West Partners LLC</w:t>
              </w:r>
            </w:hyperlink>
          </w:p>
        </w:tc>
      </w:tr>
      <w:tr>
        <w:trPr/>
        <w:tc>
          <w:tcPr>
            <w:tcW w:w="995" w:type="dxa"/>
            <w:tcBorders/>
            <w:shd w:fill="FFFFFF" w:val="clear"/>
            <w:tcMar>
              <w:bottom w:w="0" w:type="dxa"/>
            </w:tcMar>
            <w:vAlign w:val="center"/>
          </w:tcPr>
          <w:p>
            <w:pPr>
              <w:pStyle w:val="TableContents"/>
              <w:bidi w:val="0"/>
              <w:spacing w:before="0" w:after="283"/>
              <w:jc w:val="left"/>
              <w:rPr/>
            </w:pPr>
            <w:hyperlink w:anchor="tm2619932d2_ex10-2.htm">
              <w:r>
                <w:rPr>
                  <w:rStyle w:val="InternetLink"/>
                  <w:sz w:val="20"/>
                </w:rPr>
                <w:t>10.2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19932d2_ex10-2.htm">
              <w:r>
                <w:rPr>
                  <w:rStyle w:val="InternetLink"/>
                  <w:sz w:val="20"/>
                </w:rPr>
                <w:t>Registration Rights Agreement, dated July 10, 2026, between Baosheng Media Group Holdings Limited and High West Partners LLC</w:t>
              </w:r>
            </w:hyperlink>
          </w:p>
        </w:tc>
      </w:tr>
      <w:tr>
        <w:trPr/>
        <w:tc>
          <w:tcPr>
            <w:tcW w:w="995" w:type="dxa"/>
            <w:tcBorders/>
            <w:shd w:fill="CCEEFF" w:val="clear"/>
            <w:tcMar>
              <w:bottom w:w="0" w:type="dxa"/>
            </w:tcMar>
            <w:vAlign w:val="center"/>
          </w:tcPr>
          <w:p>
            <w:pPr>
              <w:pStyle w:val="TableContents"/>
              <w:bidi w:val="0"/>
              <w:spacing w:before="0" w:after="283"/>
              <w:jc w:val="left"/>
              <w:rPr/>
            </w:pPr>
            <w:hyperlink w:anchor="tm2619932d2_ex23-1.htm">
              <w:r>
                <w:rPr>
                  <w:rStyle w:val="InternetLink"/>
                  <w:sz w:val="20"/>
                </w:rPr>
                <w:t>23.1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19932d2_ex23-1.htm">
              <w:r>
                <w:rPr>
                  <w:rStyle w:val="InternetLink"/>
                </w:rPr>
                <w:t>Consent of GGF CPA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545"/>
        <w:gridCol w:w="4430"/>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30" w:type="dxa"/>
            <w:tcBorders/>
            <w:vAlign w:val="center"/>
          </w:tcPr>
          <w:p>
            <w:pPr>
              <w:pStyle w:val="TableContents"/>
              <w:bidi w:val="0"/>
              <w:spacing w:before="0" w:after="283"/>
              <w:jc w:val="left"/>
              <w:rPr/>
            </w:pPr>
            <w:r>
              <w:rPr/>
              <w:t>July 13,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19932d2_ex10-1.htm"/>
      <w:bookmarkStart w:id="3" w:name="kstm2619932d2_ex101"/>
      <w:bookmarkEnd w:id="2"/>
      <w:bookmarkEnd w:id="3"/>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(the “</w:t>
      </w:r>
      <w:r>
        <w:rPr>
          <w:rFonts w:ascii="Times New Roman;Times;Serif" w:hAnsi="Times New Roman;Times;Serif"/>
          <w:b/>
          <w:i w:val="false"/>
          <w:caps w:val="false"/>
          <w:smallCaps w:val="false"/>
          <w:sz w:val="20"/>
        </w:rPr>
        <w:t>Agreement Date</w:t>
      </w:r>
      <w:r>
        <w:rPr>
          <w:rFonts w:ascii="Times New Roman;Times;Serif" w:hAnsi="Times New Roman;Times;Serif"/>
          <w:b w:val="false"/>
          <w:i w:val="false"/>
          <w:caps w:val="false"/>
          <w:smallCaps w:val="false"/>
          <w:sz w:val="20"/>
        </w:rPr>
        <w:t>”), is entered into by and between BAOSHENG MEDIA GROUP HOLDINGS LIMITED,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HIGH WEST PARTNERS LLC, a California limited liability company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this Agreement, the Company wishes to sell to the Investor, and the Investor wishes to buy from the Company, from time to time and as provided herein, the lesser of (i) up to $30,000,000 of the Company’s Ordinary Shares, par value $0.0096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or (ii) if the Ordinary Shares is listed on any exchange operated by The Nasdaq Stock Market or the New York Stock Exchange (any,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up to an amount of shares of Ordinary Shares that constitutes the Exchange Cap (as defined below) (collectively, the “</w:t>
      </w:r>
      <w:r>
        <w:rPr>
          <w:rFonts w:ascii="Times New Roman;Times;Serif" w:hAnsi="Times New Roman;Times;Serif"/>
          <w:b/>
          <w:i w:val="false"/>
          <w:caps w:val="false"/>
          <w:smallCaps w:val="false"/>
          <w:sz w:val="20"/>
        </w:rPr>
        <w:t>Commitment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Investor,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Available Amount”</w:t>
      </w:r>
      <w:r>
        <w:rPr>
          <w:rFonts w:ascii="Times New Roman;Times;Serif" w:hAnsi="Times New Roman;Times;Serif"/>
          <w:b w:val="false"/>
          <w:i w:val="false"/>
          <w:caps w:val="false"/>
          <w:smallCaps w:val="false"/>
          <w:sz w:val="20"/>
        </w:rPr>
        <w:t xml:space="preserve"> means, initially, $30,000,000 in the aggregate, which amount shall be reduced by the Purchase Amount each time the Investor purchases Purchase Shares pursuant to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on which banks located in Los Angeles, California are permitted to be open except Saturday or Sunday.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sale price on such date for such security on the Principal Market as reported by the Principal Market (to be appropriately adjusted for any reorganization, recapitalization, non-cash dividend, stock split, reverse stock split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Commitment Shares Determination Date</w:t>
      </w:r>
      <w:r>
        <w:rPr>
          <w:rFonts w:ascii="Times New Roman;Times;Serif" w:hAnsi="Times New Roman;Times;Serif"/>
          <w:b w:val="false"/>
          <w:i w:val="false"/>
          <w:caps w:val="false"/>
          <w:smallCaps w:val="false"/>
          <w:sz w:val="20"/>
        </w:rPr>
        <w:t>” means the earlier of (i) the Trading Day prior to the effectiveness of the Registration Statement or (ii) the Trading Day prior to the date that the Investor delivers a written request to the Company for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any information disclosed by either party to the other party, either directly or indirectly, in writing, orally or by inspection of tangible objects or intangible property (including, without limitation, documents, prototypes, samples, plant and equipment).Information communicated orally shall be considered Confidential Information if such information is confirmed in writing as being Confidential Information within ten (10) Trading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(X) the receiving party (1) to the extent practicable gives the disclosing party prompt written notice of such requirement prior to such disclosure and assistance in obtaining an order protecting the information from public disclosure and (2) furnishes only that portion of the Confidential Information that in the opinion of counsel to the extent practicable is legally required to be disclosed, and (Y) any Confidential Information so disclosed shall maintain its confidentiality protection for all purposes other than such legally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Designated Brokerage Account”</w:t>
      </w:r>
      <w:r>
        <w:rPr>
          <w:rFonts w:ascii="Times New Roman;Times;Serif" w:hAnsi="Times New Roman;Times;Serif"/>
          <w:b w:val="false"/>
          <w:i w:val="false"/>
          <w:caps w:val="false"/>
          <w:smallCaps w:val="false"/>
          <w:sz w:val="20"/>
        </w:rPr>
        <w:t xml:space="preserve"> shall mean the brokerage account provided by the Investor for the delivery of the applicable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or any successor performing substantially the same function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DWAC Shares</w:t>
      </w:r>
      <w:r>
        <w:rPr>
          <w:rFonts w:ascii="Times New Roman;Times;Serif" w:hAnsi="Times New Roman;Times;Serif"/>
          <w:b w:val="false"/>
          <w:i w:val="false"/>
          <w:caps w:val="false"/>
          <w:smallCaps w:val="false"/>
          <w:sz w:val="20"/>
        </w:rPr>
        <w:t>” means shares of Ordinary Shares that are (i) issued in electronic form, (ii) the resale of which is registered under an effective registration statement and (iii) timely credited, once a DWAC notice is received, by the Company to the Investor’s or its designee’s specified Deposit/Withdrawal at Custodian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account with DTC under its Fast Automated Securities Transfer (“FAST”) Program, or any similar program hereafter adopted by DTC performing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 xml:space="preserve">Equity Conditions” </w:t>
      </w:r>
      <w:r>
        <w:rPr>
          <w:rFonts w:ascii="Times New Roman;Times;Serif" w:hAnsi="Times New Roman;Times;Serif"/>
          <w:b w:val="false"/>
          <w:i w:val="false"/>
          <w:caps w:val="false"/>
          <w:smallCaps w:val="false"/>
          <w:sz w:val="20"/>
        </w:rPr>
        <w:t>has the meaning set forth in Section 2(a)(iii).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Exempt Issuance</w:t>
      </w:r>
      <w:r>
        <w:rPr>
          <w:rFonts w:ascii="Times New Roman;Times;Serif" w:hAnsi="Times New Roman;Times;Serif"/>
          <w:b w:val="false"/>
          <w:i w:val="false"/>
          <w:caps w:val="false"/>
          <w:smallCaps w:val="false"/>
          <w:sz w:val="20"/>
        </w:rPr>
        <w:t>” means the issuance of (i) Ordinary Shares, Ordinary Shares Equivalents, options or other equity incentive awards to employees, officers or directors of the Company pursuant to any equity incentive plan duly adopted for such purpose, by the Company’s Board of Directors or a majority of the members of a committee of the Board of Directors established for such purpose, (ii) any Securities issued to the Investor pursuant to this Agreement, (iii) any securities issued upon the exercise or exchange of or conversion of any shares of Ordinary Shares or Ordinary Shares Equivalents held by the Investor at any time, or (iv) any securities issued upon the exercise or exchange of or conversion of any Ordinary Shares Equivalents that are issued and outstanding on the date of this Agreement, provided that such securities referred to in this clause (iv) have not been amended since the date of this Agreement to increase the number of such securities or to decrease the exercise price, exchange price or conversion price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shall mean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Investment Limit</w:t>
      </w:r>
      <w:r>
        <w:rPr>
          <w:rFonts w:ascii="Times New Roman;Times;Serif" w:hAnsi="Times New Roman;Times;Serif"/>
          <w:b w:val="false"/>
          <w:i w:val="false"/>
          <w:caps w:val="false"/>
          <w:smallCaps w:val="false"/>
          <w:sz w:val="20"/>
        </w:rPr>
        <w:t>” shall mean $5,000,000, subject to increase at the sole discretion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pandemics, earthquakes, hostilities, acts of war, sabotage or terrorism or military actions or any escalation or material worsening of any such hostilities, acts of war, sabotage or terrorism or military actions, (D) any action taken, or omitted to be taken, by the Investor, its affiliates or its or their respective successors and assigns with respect to the transactions contemplated by this Agreement or the Registration Rights Agreement, (E) the effect of any change in applicable laws or accounting rules that does not have a disproportionate effect on the Company and its Subsidiaries, taken as a whole, or (F) any change resulting from compliance with terms of this Agreement or the Registration Rights Agreement or the consummation of the transactions contemplated by this Agreement and the Registration Rights Agreement, or (iii) the Company’s ability to perform in any material respect on a timely basis its obligations under any Transaction Document to be performed as of the date of determination; provided, however, that neither the existence, pendency, prosecution or defense of any legal proceeding disclosed in any report, schedule, form, statement or other document filed with or furnished to the SEC by the Company prior to the Agreement Date which includes the proceedings set forth in Exhibit E attached (collectively, the “Disclosed Litigation Matters”) nor any disclosure of any Disclosed Litigation Matter shall constitute, or be taken into account in determining whether there has occurred, a Material Adverse Effect, except to the extent of any material adverse development in any Disclosed Litigation Matter first occurring after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the first day of the month immediately following the three (3) month anniversary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Ordinary Shares Equivalent</w:t>
      </w:r>
      <w:r>
        <w:rPr>
          <w:rFonts w:ascii="Times New Roman;Times;Serif" w:hAnsi="Times New Roman;Times;Serif"/>
          <w:b w:val="false"/>
          <w:i w:val="false"/>
          <w:caps w:val="false"/>
          <w:smallCaps w:val="false"/>
          <w:sz w:val="20"/>
        </w:rPr>
        <w:t>” means any securities of the Company entitling the holder thereof to acquire at any time Ordinary Shares, including, without limitation, any debt, preferred stock, right, option, warrant or other instrument that is at any time convertible into or exercisable or exchangeable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OTC Blackout</w:t>
      </w:r>
      <w:r>
        <w:rPr>
          <w:rFonts w:ascii="Times New Roman;Times;Serif" w:hAnsi="Times New Roman;Times;Serif"/>
          <w:b w:val="false"/>
          <w:i w:val="false"/>
          <w:caps w:val="false"/>
          <w:smallCaps w:val="false"/>
          <w:sz w:val="20"/>
        </w:rPr>
        <w:t>” shall mean any calendar day that the Ordinary Shares is not listed on an Exchange that is registered with the SEC under Section 6 of the Exchange Act (such as Nasdaq and NYSE), and the Principal Market is an over-the-counter market. This may be waived at any time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PEA Period</w:t>
      </w:r>
      <w:r>
        <w:rPr>
          <w:rFonts w:ascii="Times New Roman;Times;Serif" w:hAnsi="Times New Roman;Times;Serif"/>
          <w:b w:val="false"/>
          <w:i w:val="false"/>
          <w:caps w:val="false"/>
          <w:smallCaps w:val="false"/>
          <w:sz w:val="20"/>
        </w:rPr>
        <w:t>” means the period commencing at 9:30 a.m., Eastern time, on the fifth Trading Day immediately prior to the filing of any post-effective amendment to the Registration Statement (as defined herein) or New Registration Statement (as such term is defined in the Registration Rights Agreement), and ending at 9:30 a.m., Eastern time, on the Trading Day immediately following, the effective date of any post-effective amendment to the Registration Statement (as defined herein) or New Registration Statement (as such term is defined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entity including but not limited to any limited liability company, a partnership, a joint venture, a corporation, a trust, an unincorporated organization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 xml:space="preserve">Predetermined Purchase” </w:t>
      </w:r>
      <w:r>
        <w:rPr>
          <w:rFonts w:ascii="Times New Roman;Times;Serif" w:hAnsi="Times New Roman;Times;Serif"/>
          <w:b w:val="false"/>
          <w:i w:val="false"/>
          <w:caps w:val="false"/>
          <w:smallCaps w:val="false"/>
          <w:sz w:val="20"/>
        </w:rPr>
        <w:t>means the purchase of the Predetermined Purchase Shares by the Investor from the Company pursuant to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Predetermined Purchase Closing”</w:t>
      </w:r>
      <w:r>
        <w:rPr>
          <w:rFonts w:ascii="Times New Roman;Times;Serif" w:hAnsi="Times New Roman;Times;Serif"/>
          <w:b w:val="false"/>
          <w:i w:val="false"/>
          <w:caps w:val="false"/>
          <w:smallCaps w:val="false"/>
          <w:sz w:val="20"/>
        </w:rPr>
        <w:t xml:space="preserve"> has the meaning set forth in Section 2(a)(ii).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 xml:space="preserve">Predetermined Purchase Notice” </w:t>
      </w:r>
      <w:r>
        <w:rPr>
          <w:rFonts w:ascii="Times New Roman;Times;Serif" w:hAnsi="Times New Roman;Times;Serif"/>
          <w:b w:val="false"/>
          <w:i w:val="false"/>
          <w:caps w:val="false"/>
          <w:smallCaps w:val="false"/>
          <w:sz w:val="20"/>
        </w:rPr>
        <w:t>means the irrevocable written notice from the Company to the Investor with respect to the Predetermined Purchase, delivered following the Investor’s written acceptance of a Predetermined Purchase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 xml:space="preserve">Predetermined Purchase Notice Limit” </w:t>
      </w:r>
      <w:r>
        <w:rPr>
          <w:rFonts w:ascii="Times New Roman;Times;Serif" w:hAnsi="Times New Roman;Times;Serif"/>
          <w:b w:val="false"/>
          <w:i w:val="false"/>
          <w:caps w:val="false"/>
          <w:smallCaps w:val="false"/>
          <w:sz w:val="20"/>
        </w:rPr>
        <w:t>means with respect to a Predetermined Purchase made pursuant to Section 2(a) hereof, the number of Purchase Shares directed by the Company to be purchased by the Investor in a Predetermined Purchase Notice, which number of Purchase Shares shall not exceed 15% of the average daily trading volume for the five Trading Days prior to the Investor’s receipt of the Predetermined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Predetermined Purchase Notice Date”</w:t>
      </w:r>
      <w:r>
        <w:rPr>
          <w:rFonts w:ascii="Times New Roman;Times;Serif" w:hAnsi="Times New Roman;Times;Serif"/>
          <w:b w:val="false"/>
          <w:i w:val="false"/>
          <w:caps w:val="false"/>
          <w:smallCaps w:val="false"/>
          <w:sz w:val="20"/>
        </w:rPr>
        <w:t xml:space="preserve"> means the Trading Day on which the Investor receives the Predetermined Purchase Notice in accordance with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Predetermined Purchase Request”</w:t>
      </w:r>
      <w:r>
        <w:rPr>
          <w:rFonts w:ascii="Times New Roman;Times;Serif" w:hAnsi="Times New Roman;Times;Serif"/>
          <w:b w:val="false"/>
          <w:i w:val="false"/>
          <w:caps w:val="false"/>
          <w:smallCaps w:val="false"/>
          <w:sz w:val="20"/>
        </w:rPr>
        <w:t xml:space="preserve"> means the written request from the Company to the Investor to effect the Predetermined Purchase, submitted in accordance with Section 2(a)(i).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xml:space="preserve"> means the Nasdaq Capital Market (or any successor thereto); provided, however, that in the event the Company’s Ordinary Shares is not listed on the Nasdaq Capital Market (or any successor thereto) but is then listed or traded on any other Exchange (or any nationally recognized successor to any of the foregoing), then the “Principal Market” shall mean such other exchange or market on which the Company’s Ordinary Shares is then listed or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Purchase Amount</w:t>
      </w:r>
      <w:r>
        <w:rPr>
          <w:rFonts w:ascii="Times New Roman;Times;Serif" w:hAnsi="Times New Roman;Times;Serif"/>
          <w:b w:val="false"/>
          <w:i w:val="false"/>
          <w:caps w:val="false"/>
          <w:smallCaps w:val="false"/>
          <w:sz w:val="20"/>
        </w:rPr>
        <w:t>” means, with respect to any Predetermined Purchase, Single Day Purchase, or any VWAP Purchase made hereunder, as applicable, the portion of the Available Amount to be purchased by the Investor pursuant to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Purchase Date</w:t>
      </w:r>
      <w:r>
        <w:rPr>
          <w:rFonts w:ascii="Times New Roman;Times;Serif" w:hAnsi="Times New Roman;Times;Serif"/>
          <w:b w:val="false"/>
          <w:i w:val="false"/>
          <w:caps w:val="false"/>
          <w:smallCaps w:val="false"/>
          <w:sz w:val="20"/>
        </w:rPr>
        <w:t>” means any date that is a Predetermined Purchase Date, Single Day Purchase Date and/or a VWAP Purchase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Purchase Notice</w:t>
      </w:r>
      <w:r>
        <w:rPr>
          <w:rFonts w:ascii="Times New Roman;Times;Serif" w:hAnsi="Times New Roman;Times;Serif"/>
          <w:b w:val="false"/>
          <w:i w:val="false"/>
          <w:caps w:val="false"/>
          <w:smallCaps w:val="false"/>
          <w:sz w:val="20"/>
        </w:rPr>
        <w:t>” means either of a Predetermined Purchase Notice, Single Day Purchase Notice, or a VWAP Purchase Notice,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Purchase Notice Shares</w:t>
      </w:r>
      <w:r>
        <w:rPr>
          <w:rFonts w:ascii="Times New Roman;Times;Serif" w:hAnsi="Times New Roman;Times;Serif"/>
          <w:b w:val="false"/>
          <w:i w:val="false"/>
          <w:caps w:val="false"/>
          <w:smallCaps w:val="false"/>
          <w:sz w:val="20"/>
        </w:rPr>
        <w:t>” shall mean all shares of Ordinary Shares that the Company shall be entitled to issue as set forth in all applicable Purchase Notices in accordance with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shall mean any shares of Ordinary Shares that the Company is obligated to issue the Investor under this Agreement pursuant to a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entered into by the parties on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collectively, the Purchase Shares and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Single Day Purchase Date</w:t>
      </w:r>
      <w:r>
        <w:rPr>
          <w:rFonts w:ascii="Times New Roman;Times;Serif" w:hAnsi="Times New Roman;Times;Serif"/>
          <w:b w:val="false"/>
          <w:i w:val="false"/>
          <w:caps w:val="false"/>
          <w:smallCaps w:val="false"/>
          <w:sz w:val="20"/>
        </w:rPr>
        <w:t>” means, with respect to a Single Day Purchase made pursuant to Section 2(b) hereof, the Trading Day on which the Investor receives, prior to 11:00 a.m., Eastern time, on such Trading Day, a valid Single Day Purchase Notice for such Single Day Purchase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Single Day Purchase Notice</w:t>
      </w:r>
      <w:r>
        <w:rPr>
          <w:rFonts w:ascii="Times New Roman;Times;Serif" w:hAnsi="Times New Roman;Times;Serif"/>
          <w:b w:val="false"/>
          <w:i w:val="false"/>
          <w:caps w:val="false"/>
          <w:smallCaps w:val="false"/>
          <w:sz w:val="20"/>
        </w:rPr>
        <w:t>” means, with respect to any Single Day Purchase pursuant to Section 2(b) hereof, an irrevocable written notice from the Company to the Investor directing the Investor to buy such applicable amount of Purchase Shares at the applicable Single Day Purchase Price as specified by the Company therein on the applicable Single Day Purchase Date for such Single Day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Single Day Purchase Price”</w:t>
      </w:r>
      <w:r>
        <w:rPr>
          <w:rFonts w:ascii="Times New Roman;Times;Serif" w:hAnsi="Times New Roman;Times;Serif"/>
          <w:b w:val="false"/>
          <w:i w:val="false"/>
          <w:caps w:val="false"/>
          <w:smallCaps w:val="false"/>
          <w:sz w:val="20"/>
        </w:rPr>
        <w:t xml:space="preserve"> means, with respect to any Single Day Purchase made pursuant to Section 2(b) hereof, the average of the three lowest traded prices of the Ordinary Shares on the applicable Single Day Purchase Date (to be appropriately adjusted for any reorganization, recapitalization, non-cash dividend, stock split or other similar transaction that occurs on or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Person the Company wholly owns or controls, or in which the Company, directly or indirectly, owns a majority of the voting stock or similar voting interest, in each case that would be disclosable pursuant to Item 601(b)(21) of Regulation S-K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 including any day on which the Principal Market is open for trading for at least four and one-half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collectively, this Agreement and the schedules and exhibits hereto, the Registration Rights Agreement and the schedules and exhibits thereto, and each of the other agreements, documents, certificates and instruments entered into or furnished by the parties hereto in connection with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the transfer agent for the Company as of the Agreement Date, or such other successor Person who is then serving as the transfer agent for the Company in respect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 xml:space="preserve">Variable Rate Transaction” </w:t>
      </w:r>
      <w:r>
        <w:rPr>
          <w:rFonts w:ascii="Times New Roman;Times;Serif" w:hAnsi="Times New Roman;Times;Serif"/>
          <w:b w:val="false"/>
          <w:i w:val="false"/>
          <w:caps w:val="false"/>
          <w:smallCaps w:val="false"/>
          <w:sz w:val="20"/>
        </w:rPr>
        <w:t>means a transaction in which the Company (i) issues or sells any equity or debt securities that are convertible into, exchangeable or exercisable for, or include the right to receive additional shares of Ordinary Shares or Ordinary Shares Equivalents either (A) at a conversion price, exercise price, exchange rate or other price that is based upon and/or varies with the trading prices of or quotations for the Ordinary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Ordinary Shares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Ordinary Shares or Ordinary Shares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Ordinary Shares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Ordinary Shares or Ordinary Shares Equivalents, whereby the Company may sell Ordinary Shares or Ordinary Shares Equivalents at a future determined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in respect of a Single Day Purchase Date and a VWAP Purchase Date, as applicable, the volume weighted average price of the Ordinary Shares on the Principal Market, as reported by Bloomberg, L.P. using the AQR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VWAP Purchase</w:t>
      </w:r>
      <w:r>
        <w:rPr>
          <w:rFonts w:ascii="Times New Roman;Times;Serif" w:hAnsi="Times New Roman;Times;Serif"/>
          <w:b w:val="false"/>
          <w:i w:val="false"/>
          <w:caps w:val="false"/>
          <w:smallCaps w:val="false"/>
          <w:sz w:val="20"/>
        </w:rPr>
        <w:t>” means a purchase of Ordinary Shares by the Investor based upon the VWAP.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VWAP Purchase Date</w:t>
      </w:r>
      <w:r>
        <w:rPr>
          <w:rFonts w:ascii="Times New Roman;Times;Serif" w:hAnsi="Times New Roman;Times;Serif"/>
          <w:b w:val="false"/>
          <w:i w:val="false"/>
          <w:caps w:val="false"/>
          <w:smallCaps w:val="false"/>
          <w:sz w:val="20"/>
        </w:rPr>
        <w:t>” means, with respect to any VWAP Purchase made pursuant to Section 2(b) hereof, the Trading Day that is the applicable VWAP Purchase Date with respect to the corresponding VWAP Purchase referred to in clause (i) of the second sentence of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VWAP Purchase Notice</w:t>
      </w:r>
      <w:r>
        <w:rPr>
          <w:rFonts w:ascii="Times New Roman;Times;Serif" w:hAnsi="Times New Roman;Times;Serif"/>
          <w:b w:val="false"/>
          <w:i w:val="false"/>
          <w:caps w:val="false"/>
          <w:smallCaps w:val="false"/>
          <w:sz w:val="20"/>
        </w:rPr>
        <w:t>” means, with respect to a VWAP Purchase made pursuant to Section 2(b) hereof, an irrevocable written notice from the Company to the Investor directing the Investor to purchase the number of Purchase Shares specified by the Company therein as the VWAP Purchase Share Amount to be purchased by the Investor (such amount specified, the “</w:t>
      </w:r>
      <w:r>
        <w:rPr>
          <w:rFonts w:ascii="Times New Roman;Times;Serif" w:hAnsi="Times New Roman;Times;Serif"/>
          <w:b/>
          <w:i w:val="false"/>
          <w:caps w:val="false"/>
          <w:smallCaps w:val="false"/>
          <w:sz w:val="20"/>
        </w:rPr>
        <w:t>VWAP Purchase Share Amount,</w:t>
      </w:r>
      <w:r>
        <w:rPr>
          <w:rFonts w:ascii="Times New Roman;Times;Serif" w:hAnsi="Times New Roman;Times;Serif"/>
          <w:b w:val="false"/>
          <w:i w:val="false"/>
          <w:caps w:val="false"/>
          <w:smallCaps w:val="false"/>
          <w:sz w:val="20"/>
        </w:rPr>
        <w:t>” subject to adjustment in accordance with Section 2(b) hereof as necessary to give effect to the Purchase Share amount limitations applicable to such VWAP Purchase Share Amount as set forth in this Agreement) at the applicable VWAP Purchase Price on the applicable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VWAP Purchase Price</w:t>
      </w:r>
      <w:r>
        <w:rPr>
          <w:rFonts w:ascii="Times New Roman;Times;Serif" w:hAnsi="Times New Roman;Times;Serif"/>
          <w:b w:val="false"/>
          <w:i w:val="false"/>
          <w:caps w:val="false"/>
          <w:smallCaps w:val="false"/>
          <w:sz w:val="20"/>
        </w:rPr>
        <w:t>” means, with respect to a VWAP Purchase made pursuant to Section 2(b) hereof, 97% of the lowest daily volume weighted average price of the Ordinary Shares for the three consecutive Trading Days beginning with the Investor’s receipt of a VWAP Purchase Notice (to be appropriately adjusted for any reorganization, recapitalization, non-cash dividend, stock split, reverse stock split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VWAP Purchase Share Maximum”</w:t>
      </w:r>
      <w:r>
        <w:rPr>
          <w:rFonts w:ascii="Times New Roman;Times;Serif" w:hAnsi="Times New Roman;Times;Serif"/>
          <w:b w:val="false"/>
          <w:i w:val="false"/>
          <w:caps w:val="false"/>
          <w:smallCaps w:val="false"/>
          <w:sz w:val="20"/>
        </w:rPr>
        <w:t xml:space="preserve"> means, with respect to a VWAP Purchase made pursuant to Section 2(b) hereof, the number of Purchase Shares directed by the Company to be purchased by the Investor in a VWAP Purchase Notice, which number of Purchase Shares shall not exceed 150% of the average daily trading volume for the five Trading Days prior to the Investor’s receipt of the VWAP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PURCHASE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Predetermined Purchase</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during prior to the Maturity Date, provided that the Predetermined Purchase Notice Limit shall not be exceeded, the Company may submit Predetermined Purchase Notices to the Investor in writing identifying (A) the number of Ordinary Shares proposed to be sold (the “</w:t>
      </w:r>
      <w:r>
        <w:rPr>
          <w:rFonts w:ascii="Times New Roman;Times;Serif" w:hAnsi="Times New Roman;Times;Serif"/>
          <w:b/>
          <w:i w:val="false"/>
          <w:caps w:val="false"/>
          <w:smallCaps w:val="false"/>
          <w:sz w:val="20"/>
        </w:rPr>
        <w:t>Predetermined Purchase Shares</w:t>
      </w:r>
      <w:r>
        <w:rPr>
          <w:rFonts w:ascii="Times New Roman;Times;Serif" w:hAnsi="Times New Roman;Times;Serif"/>
          <w:b w:val="false"/>
          <w:i w:val="false"/>
          <w:caps w:val="false"/>
          <w:smallCaps w:val="false"/>
          <w:sz w:val="20"/>
        </w:rPr>
        <w:t>”) at the Predetermined Purchase Price and (B) the proposed Predetermined Purchase Notice Date. The Predetermined Purchase Request shall be subject to the satisfaction of each of the Equity Conditions (as defined below) as of the proposed Predetermined Purchase Notice Date. The “</w:t>
      </w:r>
      <w:r>
        <w:rPr>
          <w:rFonts w:ascii="Times New Roman;Times;Serif" w:hAnsi="Times New Roman;Times;Serif"/>
          <w:b/>
          <w:i w:val="false"/>
          <w:caps w:val="false"/>
          <w:smallCaps w:val="false"/>
          <w:sz w:val="20"/>
        </w:rPr>
        <w:t>Predetermined Purchase Price</w:t>
      </w:r>
      <w:r>
        <w:rPr>
          <w:rFonts w:ascii="Times New Roman;Times;Serif" w:hAnsi="Times New Roman;Times;Serif"/>
          <w:b w:val="false"/>
          <w:i w:val="false"/>
          <w:caps w:val="false"/>
          <w:smallCaps w:val="false"/>
          <w:sz w:val="20"/>
        </w:rPr>
        <w:t>” shall mean eighty-five percent (85%) of the lowest daily volume weighted average price of the Ordinary Shares during the five (5) consecutive Trading Days period prior to and including the Predetermined Purchase Notice Date (such period, the “</w:t>
      </w:r>
      <w:r>
        <w:rPr>
          <w:rFonts w:ascii="Times New Roman;Times;Serif" w:hAnsi="Times New Roman;Times;Serif"/>
          <w:b/>
          <w:i w:val="false"/>
          <w:caps w:val="false"/>
          <w:smallCaps w:val="false"/>
          <w:sz w:val="20"/>
        </w:rPr>
        <w:t>Predetermined Purchase Valuation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Predetermined Purchase Closing</w:t>
      </w:r>
      <w:r>
        <w:rPr>
          <w:rFonts w:ascii="Times New Roman;Times;Serif" w:hAnsi="Times New Roman;Times;Serif"/>
          <w:b w:val="false"/>
          <w:i w:val="false"/>
          <w:caps w:val="false"/>
          <w:smallCaps w:val="false"/>
          <w:sz w:val="20"/>
        </w:rPr>
        <w:t>. The Company may deliver an irrevocable Predetermined Purchase Notice to the Investor, provided that the Company shall have effectively registered the issuance of the subject shares on Form F-3 as contemplated by Section 5(a)(iii) below. The Company shall deliver the applicable Purchase Notice Shares as DWAC Shares to the Designated Brokerage Account alongside the delivery of the Predetermined Purchase Notice. A Predetermined Purchase Notice shall be deemed delivered on the Business Day that the applicable Predetermined Purchase Notice Form is received after 4:00 p.m. New York time by email by the Investor and before 7:00 p.m. New York time (the “</w:t>
      </w:r>
      <w:r>
        <w:rPr>
          <w:rFonts w:ascii="Times New Roman;Times;Serif" w:hAnsi="Times New Roman;Times;Serif"/>
          <w:b/>
          <w:i w:val="false"/>
          <w:caps w:val="false"/>
          <w:smallCaps w:val="false"/>
          <w:sz w:val="20"/>
        </w:rPr>
        <w:t>Predetermined Purchase Notice Date</w:t>
      </w:r>
      <w:r>
        <w:rPr>
          <w:rFonts w:ascii="Times New Roman;Times;Serif" w:hAnsi="Times New Roman;Times;Serif"/>
          <w:b w:val="false"/>
          <w:i w:val="false"/>
          <w:caps w:val="false"/>
          <w:smallCaps w:val="false"/>
          <w:sz w:val="20"/>
        </w:rPr>
        <w:t>”). If the applicable Predetermined Purchase Notice Form is received after 7:00 p.m. New York time, the Predetermined Purchase Notice shall be cancelled, unless waived by Investor in writing. On the Business Day following the Predetermined Purchase Notice Date, the Investor shall confirm that the Equity Conditions have first been satisfied and then the Company shall immediately instruct the Transfer Agent to the deliver via DWAC the applicable Purchase Notice Shares to the Investor’s Designated Brokerage Account. The closing of the Predetermined Purchase (the “</w:t>
      </w:r>
      <w:r>
        <w:rPr>
          <w:rFonts w:ascii="Times New Roman;Times;Serif" w:hAnsi="Times New Roman;Times;Serif"/>
          <w:b/>
          <w:i w:val="false"/>
          <w:caps w:val="false"/>
          <w:smallCaps w:val="false"/>
          <w:sz w:val="20"/>
        </w:rPr>
        <w:t>Predetermined Purchase Closing</w:t>
      </w:r>
      <w:r>
        <w:rPr>
          <w:rFonts w:ascii="Times New Roman;Times;Serif" w:hAnsi="Times New Roman;Times;Serif"/>
          <w:b w:val="false"/>
          <w:i w:val="false"/>
          <w:caps w:val="false"/>
          <w:smallCaps w:val="false"/>
          <w:sz w:val="20"/>
        </w:rPr>
        <w:t>”) shall occur no later than the second (2nd) Business Day following the Predetermined Purchase Notice Date (the “</w:t>
      </w:r>
      <w:r>
        <w:rPr>
          <w:rFonts w:ascii="Times New Roman;Times;Serif" w:hAnsi="Times New Roman;Times;Serif"/>
          <w:b/>
          <w:i w:val="false"/>
          <w:caps w:val="false"/>
          <w:smallCaps w:val="false"/>
          <w:sz w:val="20"/>
        </w:rPr>
        <w:t>Predetermined Purchase Date</w:t>
      </w:r>
      <w:r>
        <w:rPr>
          <w:rFonts w:ascii="Times New Roman;Times;Serif" w:hAnsi="Times New Roman;Times;Serif"/>
          <w:b w:val="false"/>
          <w:i w:val="false"/>
          <w:caps w:val="false"/>
          <w:smallCaps w:val="false"/>
          <w:sz w:val="20"/>
        </w:rPr>
        <w:t>”). At the Predetermined Purchase Closing, the Investor shall pay to the Company an amount equal to the Predetermined Purchase Price multiplied by the number of Predetermined Purchase Shares, less any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In addition to the other conditions set forth in this Agreement, the Company’s right to deliver a Predetermined Purchase Notice, and the Investor’s obligation to fund and close on the same, shall be subject to the satisfaction of each of the following equity conditions (the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xml:space="preserve">”) as of the Predetermined Purchase Notice Date and continuing through the Predetermined Purchase Closing, and if any of such Equity Conditions are not satisfied as such, the subject Predetermined Purchase Notice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3" w:type="dxa"/>
            <w:tcBorders/>
            <w:vAlign w:val="center"/>
          </w:tcPr>
          <w:p>
            <w:pPr>
              <w:pStyle w:val="TableContents"/>
              <w:bidi w:val="0"/>
              <w:spacing w:before="0" w:after="283"/>
              <w:jc w:val="both"/>
              <w:rPr/>
            </w:pPr>
            <w:r>
              <w:rPr/>
              <w:t>the Predetermined Purchase Notice Date did not have the lowest daily VWAP, or have the lowest traded price, of the Ordinary Shares for all of the days during the Predetermined Purchase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8" w:type="dxa"/>
            <w:tcBorders/>
            <w:vAlign w:val="center"/>
          </w:tcPr>
          <w:p>
            <w:pPr>
              <w:pStyle w:val="TableContents"/>
              <w:bidi w:val="0"/>
              <w:spacing w:before="0" w:after="283"/>
              <w:jc w:val="both"/>
              <w:rPr/>
            </w:pPr>
            <w:r>
              <w:rPr/>
              <w:t>the closing price of the Ordinary Shares on the Predetermined Purchase Notice Date must exceed the lowest daily VWAP during the Predetermined Purchase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3" w:type="dxa"/>
            <w:tcBorders/>
            <w:vAlign w:val="center"/>
          </w:tcPr>
          <w:p>
            <w:pPr>
              <w:pStyle w:val="TableContents"/>
              <w:bidi w:val="0"/>
              <w:spacing w:before="0" w:after="283"/>
              <w:jc w:val="both"/>
              <w:rPr/>
            </w:pPr>
            <w:r>
              <w:rPr/>
              <w:t>the opening sale price of the Ordinary Shares on the Business Day following the Predetermined Purchase Notice Date must exceed 110% of the Predetermined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8" w:type="dxa"/>
            <w:tcBorders/>
            <w:vAlign w:val="center"/>
          </w:tcPr>
          <w:p>
            <w:pPr>
              <w:pStyle w:val="TableContents"/>
              <w:bidi w:val="0"/>
              <w:spacing w:before="0" w:after="283"/>
              <w:jc w:val="both"/>
              <w:rPr/>
            </w:pPr>
            <w:r>
              <w:rPr/>
              <w:t>the closing sale price of the Ordinary Shares on each of the five (5) Trading Days immediately preceding the Predetermined Purchase Notice Date shall be no less than $0.50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3" w:type="dxa"/>
            <w:tcBorders/>
            <w:vAlign w:val="center"/>
          </w:tcPr>
          <w:p>
            <w:pPr>
              <w:pStyle w:val="TableContents"/>
              <w:bidi w:val="0"/>
              <w:spacing w:before="0" w:after="283"/>
              <w:jc w:val="both"/>
              <w:rPr/>
            </w:pPr>
            <w:r>
              <w:rPr/>
              <w:t>the Investor shall have determined, in its reasonable judgment, that no halt, suspension, limit-down, or material disorderly market condition exists in the Ordinary Shares or the broader equity markets that would impair the Investor’s ability to resell the Predetermined Purchase Shares in an orderly manner.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f.</w:t>
            </w:r>
          </w:p>
        </w:tc>
        <w:tc>
          <w:tcPr>
            <w:tcW w:w="10043" w:type="dxa"/>
            <w:tcBorders/>
            <w:vAlign w:val="center"/>
          </w:tcPr>
          <w:p>
            <w:pPr>
              <w:pStyle w:val="TableContents"/>
              <w:bidi w:val="0"/>
              <w:spacing w:before="0" w:after="283"/>
              <w:jc w:val="both"/>
              <w:rPr/>
            </w:pPr>
            <w:r>
              <w:rPr/>
              <w:t>each of the conditions to the Investor’s obligation to purchase set forth in Section 8 shall be satisfied and no Suspension Event shall have occurred or be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this Agreement, the Company has the right, but not the obligation, to sell to the Investor, in the Company’s sole and absolute discretion, and the Investor has the obligation to purchase from the Company, Purchase Shares in addition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Single Day Sales of Ordinary Shares</w:t>
      </w:r>
      <w:r>
        <w:rPr>
          <w:rFonts w:ascii="Times New Roman;Times;Serif" w:hAnsi="Times New Roman;Times;Serif"/>
          <w:b w:val="false"/>
          <w:i w:val="false"/>
          <w:caps w:val="false"/>
          <w:smallCaps w:val="false"/>
          <w:sz w:val="20"/>
        </w:rPr>
        <w:t>. Upon the satisfaction of all of the conditions set forth in Sections 7 and 8 hereof (the “</w:t>
      </w:r>
      <w:r>
        <w:rPr>
          <w:rFonts w:ascii="Times New Roman;Times;Serif" w:hAnsi="Times New Roman;Times;Serif"/>
          <w:b/>
          <w:i w:val="false"/>
          <w:caps w:val="false"/>
          <w:smallCaps w:val="false"/>
          <w:sz w:val="20"/>
        </w:rPr>
        <w:t>Commencement</w:t>
      </w:r>
      <w:r>
        <w:rPr>
          <w:rFonts w:ascii="Times New Roman;Times;Serif" w:hAnsi="Times New Roman;Times;Serif"/>
          <w:b w:val="false"/>
          <w:i w:val="false"/>
          <w:caps w:val="false"/>
          <w:smallCaps w:val="false"/>
          <w:sz w:val="20"/>
        </w:rPr>
        <w:t>” and the date of satisfaction of such conditions the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and thereafter, until the Maturity Date or as earlier terminated in accordance with the terms of this Agreement, the Company shall have the right, but not the obligation, to direct the Investor, by its delivery to the Investor of a Single Day Purchase Notice from time to time in accordance with this Agreement, to purchase the applicable Purchase Shares at the Single Day Purchase Price on the Single Day Purchase Date therefor in accordance with this Agreement (each such purchase, a “</w:t>
      </w:r>
      <w:r>
        <w:rPr>
          <w:rFonts w:ascii="Times New Roman;Times;Serif" w:hAnsi="Times New Roman;Times;Serif"/>
          <w:b/>
          <w:i w:val="false"/>
          <w:caps w:val="false"/>
          <w:smallCaps w:val="false"/>
          <w:sz w:val="20"/>
        </w:rPr>
        <w:t>Single Day Purchase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Investor’s committed obligation shall not exceed the Investment Limit, and the maximum amount of Purchase Notice Shares the Company may require the Investor to purchase per each Single Day Purchase Notice shall be the lesser of: (i) 35% of the three day average daily trading volume or (ii) the Investment Limit divided by the highest Closing Sale Price of the Ordinary Shares over the most recent five Trading Days immediately preceding receipt of the subject Purchase Notic</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on any single Trading Day, subject to adjustment as set forth below in this Section 2(a) (such maximum number of Purchase Shares, as may be adjusted from time to time, the “</w:t>
      </w:r>
      <w:r>
        <w:rPr>
          <w:rFonts w:ascii="Times New Roman;Times;Serif" w:hAnsi="Times New Roman;Times;Serif"/>
          <w:b/>
          <w:i w:val="false"/>
          <w:caps w:val="false"/>
          <w:smallCaps w:val="false"/>
          <w:sz w:val="20"/>
        </w:rPr>
        <w:t>Single Day Purchase Share Limit</w:t>
      </w:r>
      <w:r>
        <w:rPr>
          <w:rFonts w:ascii="Times New Roman;Times;Serif" w:hAnsi="Times New Roman;Times;Serif"/>
          <w:b w:val="false"/>
          <w:i w:val="false"/>
          <w:caps w:val="false"/>
          <w:smallCaps w:val="false"/>
          <w:sz w:val="20"/>
        </w:rPr>
        <w:t xml:space="preserve">”). If the Company delivers any Single Day Purchase Notice for a Purchase Amount in excess of the limitations contained in the immediately preceding sentence, such Single Day Purchase Notice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to the extent of the amount by which the number of Purchase Shares set forth in such Single Day Purchase Notice exceeds the number of Purchase Shares that the Company is permitted to include in such Single Day Purchase Notice in accordance herewith, and the Investor shall have no obligation to purchase such excess Purchase Shares in respect of such Single Day Purchase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shall remain obligated to purchase the number of Purchase Shares that the Company is permitted to include in such Single Day Purchase Notice. The Company shall deliver the Purchase Notice Shares as DWAC Shares to the Designated Brokerage Account alongside the delivery of the Single Day Purchase Notice. A Single Day Purchase Notice shall be deemed delivered on the Business Day (i) a Single Day Purchase Notice form is received by 11:00 a.m. New York time by email by the Investor and (ii) the DWAC of the applicable Purchase Notice Shares has been initiated and completed as confirmed by the Investor’s Designated Brokerage Account by 11:00 a.m. New York time (the “</w:t>
      </w:r>
      <w:r>
        <w:rPr>
          <w:rFonts w:ascii="Times New Roman;Times;Serif" w:hAnsi="Times New Roman;Times;Serif"/>
          <w:b/>
          <w:i w:val="false"/>
          <w:caps w:val="false"/>
          <w:smallCaps w:val="false"/>
          <w:sz w:val="20"/>
        </w:rPr>
        <w:t>Single Day Purchase Notice Date</w:t>
      </w:r>
      <w:r>
        <w:rPr>
          <w:rFonts w:ascii="Times New Roman;Times;Serif" w:hAnsi="Times New Roman;Times;Serif"/>
          <w:b w:val="false"/>
          <w:i w:val="false"/>
          <w:caps w:val="false"/>
          <w:smallCaps w:val="false"/>
          <w:sz w:val="20"/>
        </w:rPr>
        <w:t>”). If the applicable Single Day Purchase Notice form is received after 11:00 a.m. New York time or the DWAC of the applicable Purchase Notice Shares has not been completed as confirmed by the Investor’s Designated Brokerage Account by 11:00 a.m. New York time, then the next Business Day shall be the Single Day Purchase Notice Date, unless waived by Investor in writing. Notwithstanding the foregoing, the Investor may waive the Single Day Purchase Share Limit at any time to allow the Investor to purchase additional shares under a Single Day Purchase Notice. In addition, the Company shall not deliver any Single Day Purchase Notices to the Investor during the PEA Period or any OTC Blackout, unless so waived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VWAP Purchases</w:t>
      </w:r>
      <w:r>
        <w:rPr>
          <w:rFonts w:ascii="Times New Roman;Times;Serif" w:hAnsi="Times New Roman;Times;Serif"/>
          <w:b w:val="false"/>
          <w:i w:val="false"/>
          <w:caps w:val="false"/>
          <w:smallCaps w:val="false"/>
          <w:sz w:val="20"/>
        </w:rPr>
        <w:t>. Subject to the terms and conditions of this Agreement, from and after the Commencement Date, until the Maturity Date or as earlier terminated in accordance with the terms of this Agreement, in addition to Single Day Purchases as described in Section 2(a) above, the Company shall also have the right, but not the obligation, to direct the Investor, by its delivery to the Investor of a VWAP Purchase Notice from time to time in accordance with this Agreement, to purchase Ordinary Shares under the applicable VWAP Purchase at the VWAP Purchase Price on the VWAP Purchase Date therefor in accordance with this Agreement. The Company may deliver a VWAP Purchase Notice to the Investor only (i) on a VWAP Purchase Date on which the Company also properly submitted a VWAP Purchase Notice providing for a VWAP Purchase of a number of Purchase Shares less than the VWAP Purchase Share Maximum then in effect on such VWAP Purchase Date in accordance with this Agreement, and (ii) the Company has delivered the Purchase Notice Shares as DWAC Shares to the Designated Brokerage Account. A VWAP Purchase Notice shall be deemed delivered on the Business Day (i) a VWAP Purchase Notice form is received by 11:00 a.m. New York time by email by the Investor and (ii) the DWAC of the applicable Purchase Notice Shares has been initiated and completed as confirmed by the Investor’s Designated Brokerage Account by 11:00 a.m. New York time (the “</w:t>
      </w:r>
      <w:r>
        <w:rPr>
          <w:rFonts w:ascii="Times New Roman;Times;Serif" w:hAnsi="Times New Roman;Times;Serif"/>
          <w:b/>
          <w:i w:val="false"/>
          <w:caps w:val="false"/>
          <w:smallCaps w:val="false"/>
          <w:sz w:val="20"/>
        </w:rPr>
        <w:t>VWAP Purchase Notice Date</w:t>
      </w:r>
      <w:r>
        <w:rPr>
          <w:rFonts w:ascii="Times New Roman;Times;Serif" w:hAnsi="Times New Roman;Times;Serif"/>
          <w:b w:val="false"/>
          <w:i w:val="false"/>
          <w:caps w:val="false"/>
          <w:smallCaps w:val="false"/>
          <w:sz w:val="20"/>
        </w:rPr>
        <w:t xml:space="preserve">”). If the applicable VWAP Purchase Notice form is received after 11:00 a.m. New York time or the DWAC of the applicable Purchase Notice Shares has not been completed as confirmed by the Investor’s Designated Brokerage Account by 11:00 a.m. New York time, then the next Business Day shall be the VWAP Purchase Notice Date, unless waived by Investor in writing. If the Company delivers any VWAP Purchase Notice directing the Investor to purchase an amount of Purchase Shares that exceeds the VWAP Purchase Share Maximum that the Company is then permitted to include in such VWAP Purchase Notice, such VWAP Purchase Notice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to the extent of the amount by which the number of Purchase Shares set forth in such VWAP Purchase Notice exceeds the VWAP Purchase Share Maximum that the Company is then permitted to include in such VWAP Purchase Notice (which shall be confirmed in a VWAP Purchase confirmation), and the Investor shall have no obligation to purchase such excess Purchase Shares in respect of such VWAP Purchase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shall remain obligated to complete the VWAP Purchase up to the VWAP Purchase Share Maximum. Within four Trading Days after each VWAP Purchase Date for a VWAP Purchase, the Investor will provide to the Company a written confirmation of such VWAP Purchase setting forth the applicable VWAP Purchase Share Amount and VWAP Purchase Price for such VWAP Purchase. Notwithstanding the foregoing, the Company shall not deliver any VWAP Purchase Notices to the Investor during the PEA Period or OTC Blackout unless so waived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Certain Limitations</w:t>
      </w:r>
      <w:r>
        <w:rPr>
          <w:rFonts w:ascii="Times New Roman;Times;Serif" w:hAnsi="Times New Roman;Times;Serif"/>
          <w:b w:val="false"/>
          <w:i w:val="false"/>
          <w:caps w:val="false"/>
          <w:smallCaps w:val="false"/>
          <w:sz w:val="20"/>
        </w:rPr>
        <w:t>. Notwithstanding anything to the contrary in this Agreement, the Investor’s obligations under this Agreement shall in all cases be subject to the Investment Limit and the Beneficial Ownership Limitation with respect to each Purchase Notice. Additionally, notwithstanding any other terms to the contrary in this Agreement, the Company shall not, and shall not have the right to, submit more than one (1) Single Day Purchase Notice on any single Trading Day, and shall not, and shall not have the right to, submit more than one (1) VWAP Purchase Notice on any single Trading Day, unless such limitation is waived for a particular request by the Investor. Notwithstanding any other terms in this Agreement, following delivery of a Predetermined Purchase Notice, the Company shall not be entitled to deliver any other Purchase Notices to the Investor within the following five (5) Business Days, unless such limitation is waived in writing by the Investor. Also, for the avoidance of doubt, the Company shall not have the right to submit any Purchase Notice if any Suspension Event has occurred, or any event which, after notice and/or lapse of time, would become a Suspension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 for Purchase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each Single Day Purchase, the Investor shall pay to the Company an amount equal to the Purchase Amount with respect to such Single Day Purchase. as full payment for such Purchase Shares via wire transfer of immediately available funds on the Trading Day following the Investor’s receipt of the Purchase Shares as DWAC Shares, if such Purchase Shares are received by the Investor before 11:00 a.m., Eastern time, or, if such Purchase Shares are received by the Investor after 11:00 a.m., Eastern time, the second Trading Day following the Investor’s receipt of the Purchase Shares as DWAC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each VWAP Purchase, the Investor shall pay to the Company an amount equal to the Purchase Amount with respect to such VWAP Purchase, as full payment for such Purchase Shares via wire transfer of immediately available funds on the fourth Trading Day following the Investor’s receipt of the Purchase Shares as DWAC Shares, if such Purchase Shares are received by the Investor before 11:00 a.m., Eastern time, or, if such Purchase Shares are received by the Investor after 11:00 a.m., Eastern time, the fifth Trading Day following the Investor’s receipt of the Purchase Shares as DWAC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issue any fraction of a share of Ordinary Shares upon any Single Day Purchase or VWAP Purchase. If the issuance would result in the issuance of a fraction of a share of Ordinary Shares, the Company shall round such fraction of a share of Ordinary Shares up or down to the nearest whole share. All payments made under this Agreement shall be made in lawful currency of the United States of America by wire transfer of immediately available funds to such account as the Company (or the Investor, as applicable) may from time to time designate by written notice in accordance with the provisions of this Agreement. Whenever any amount expressed to be due by the terms of this Agreement is due on any day that is not a Trading Day, the same shall instead be due on the next succeeding day that is a Trading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57"/>
        <w:gridCol w:w="9562"/>
      </w:tblGrid>
      <w:tr>
        <w:trPr/>
        <w:tc>
          <w:tcPr>
            <w:tcW w:w="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(f)</w:t>
            </w:r>
          </w:p>
        </w:tc>
        <w:tc>
          <w:tcPr>
            <w:tcW w:w="9562" w:type="dxa"/>
            <w:tcBorders/>
            <w:vAlign w:val="center"/>
          </w:tcPr>
          <w:p>
            <w:pPr>
              <w:pStyle w:val="TableContents"/>
              <w:bidi w:val="0"/>
              <w:spacing w:before="0" w:after="283"/>
              <w:jc w:val="both"/>
              <w:rPr/>
            </w:pPr>
            <w:r>
              <w:rPr>
                <w:u w:val="single"/>
              </w:rPr>
              <w:t>Compliance with Rules of Principal Market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Company shall not issue or sell any shares of Ordinary Shares pursuant to this Agreement if such issuance or sale would reasonably be expected to result in (A) a violation of the Securities Act or (B) a breach of the rules and regulations of the Principal Market. The provisions of this Section 2(e) shall be implemented in a manner otherwise than in strict conformity with the terms hereof only if necessary to ensure compliance with the Securities Act and the rules and regulations of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If the Company’s Ordinary Shares is listed on an Exchange, the Investor and the Company shall if necessary to comply with the rules of the Exchange amend this Agreement to add a floor price that shall not be greater than the Floor Price and any required shareholder approval requirements related to the issuance of more than 19.99% of outstanding Ordinary Shares (an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Company shall not issue to the Investor any Ordinary Shares, the terms and any such issuance shall be null and void and treated as if never made, to the extent that after giving effect to such issuance, the Investor together with its affiliates (the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collectively would beneficially own in excess of 4.99%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of the shares of Ordinary Shares outstanding immediately after giving effect to such conversion. For purposes of the foregoing sentence, the aggregate number of shares of Ordinary Shares beneficially owned by the Investor and the other Attribution Parties shall include the number of shares of Ordinary Shares held by the Investor and all other Attribution Parties plus the number of shares of Ordinary Shares issuable pursuant to the Single Day Purchase Notice or VWAP Purchase Notice with respect to which the determination of such sentence is being made, but shall exclude shares of Ordinary Shares which would be issuable upon exercise, exchange or conversion of the unexercised or non-converted portion of any other securities of the Company (including, without limitation, any convertible notes or convertible preferred stock or warrants) beneficially owned by the Investor or any other Attribution Party subject to a limitation on conversion or exercise analogous to the limitation contained in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For purposes of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beneficial ownership shall be calculated in accordance with Section 13(d) of the Exchange Act.  For purposes of determining the number of outstanding shares of Ordinary Shares the Investor may acquire upon the conversion of this Note without exceeding the Beneficial Ownership Limitation, the Investor may rely on the number of outstanding shares of Ordinary Shares as reflected in (x) the Company’s most recent annual or periodic report on Form 20-F, Current Report on Form 6-K or other public filing with the SEC, as the case may be, (y) a more recent public announcement by the Company or (z) any other written notice issued by the Company or the Transfer Agent, if any, setting forth the number of shares of Ordinary Shares outstanding (any,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For any reason at any time, upon the written or oral request of the Investor, the Company shall within one Trading Day confirm orally and in writing or by electronic mail to the Investor the number of shares of Ordinary Shares then outstanding.  If the Company receives a Purchase Notice or VWAP Purchase Notice from the Investor at a time when the actual number of outstanding shares of Ordinary Shares is less than the Reported Outstanding Share Number, the Company shall notify the Investor in writing of the number of shares of Ordinary Shares then outstanding and, to the extent that such Purchase Notice or VWAP Purchase Notice would otherwise cause the Investor’s beneficial ownership, as determined pursuant to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to exceed the Beneficial Ownership Limitation, the Investor must notify the Company of a reduced number of shares of Ordinary Shares to be issued pursuant to such Purchase Notice or VWAP Purchase Notice. In any case, the number of outstanding shares of Ordinary Shares shall be determined after giving effect to each conversion, exchange or exercise of securities of the Company including issuances under this Agreement by the Investor and any other Attribution Party since the date as of which the Reported Outstanding Share Number was reported.  In the event that the issuance of shares of Ordinary Shares to the Investor upon a Purchase Notice results in the Investor and the other Attribution Parties being deemed to beneficially own, in the aggregate, more than the Beneficial Ownership Limitation of the number of outstanding shares of Ordinary Shares (as determined under Section 13(d) of the Exchange Act), the number of shares so issued by which the Investor’s and the other Attribution Parties’ aggregate beneficial ownership exceeds the Beneficial Ownership Limitation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Investor shall not have the power to vote or to transfer the Excess Shares. Furthermore, the Company shall indemnify the Investor in accordance with the Purchase Agreement, if the Investor suffers any damages, claims or losses as a result of Excess Shares being issued to the extent due to any fault or negligence of the Company or any agent of the Company. Upon delivery of a written notice to the Company, the Investor may from time to time increase (with such increase not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delivery of such notice) or decrease the Beneficial Ownership Limitation to any other percentage not in excess of 9.99% as specified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and (ii) any such increase or decrease will apply only to the Investor and the other Attribution Parties. For purposes of clarity, the shares of Ordinary Shares issuable pursuant to the terms of this Agreement in excess of the Beneficial Ownership Limitation shall not be deemed to be beneficially owned by the Investor for any purpose including for purposes of Section 13(d) or Rule 16a-1(a)(1) of the Exchange Act.  No prior inability to receive Ordinary Shares under this Agreement pursuant to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shall have any effect on the applicability of the provisions of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with respect to any subsequent determination of any issuance. The provisions of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shall be construed and implemented in a manner otherwise than in strict conformity with the terms of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to the extent necessary to correct any provision which may be defective or inconsistent with the intended beneficial ownership limitation contained in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or to make changes or supplements necessary or desirable to properly give effect to such limitation. The limitation contained in this Section 2(</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may not be waived and shall apply to a successor assignee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Aggregate VWAP Purchase Limitation</w:t>
      </w:r>
      <w:r>
        <w:rPr>
          <w:rFonts w:ascii="Times New Roman;Times;Serif" w:hAnsi="Times New Roman;Times;Serif"/>
          <w:b w:val="false"/>
          <w:i w:val="false"/>
          <w:caps w:val="false"/>
          <w:smallCaps w:val="false"/>
          <w:sz w:val="20"/>
        </w:rPr>
        <w:t>. Notwithstanding any other terms of this Agreement, in no event shall the aggregate amount of Purchase Shares submitted in any single or combination of VWAP Purchase Notices on a particular related VWAP Purchase Date require a payment from the Investor that exceeds the Investment Limit, unless such limitation is waived by the Investor in its sole discretion as to any single or combination of VWAP Purchase Notices on a particular related VWAP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of Purchase Notice. With respect to each Single Day Purchase Notice and/or VWAP Purchase Notice, the Company shall deliver to the Investor a completed form of purchase notice in materially the form attached hereto as 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INVESTOR’S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and warrants to the Company that as of the Agreement Date, and as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Investor is an entity duly organized, validly existing and in good standing under the laws of the jurisdiction of its organization, with the requisite power and authority to enter into and to consummate the transactions contemplated by this Agreement and the Registration Rights Agreement and otherwise to carry out its obligations hereunder and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The Investor is acquiring the Securities as principal for its own account, for investment purposes,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Investor is an “accredited investor” as that term is defined in Rule 501(a)(3) of Regulation D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Investor understands that the Securities are being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Section 4 below. The Investor has sought such accounting, legal and tax advice from its own independent advisors as it has considered necessary to make an informed investment decision with respect to its acquisition of the Securities and is not relying on any accounting, legal, tax or other advice from the Company or its officers, employees or representatives. The Investor acknowledges and agrees that the Company neither makes nor has made any representations or warranties with respect to the transactions contemplated hereby other than those specifically set forth in Section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Transfer or Sale</w:t>
      </w:r>
      <w:r>
        <w:rPr>
          <w:rFonts w:ascii="Times New Roman;Times;Serif" w:hAnsi="Times New Roman;Times;Serif"/>
          <w:b w:val="false"/>
          <w:i w:val="false"/>
          <w:caps w:val="false"/>
          <w:smallCaps w:val="false"/>
          <w:sz w:val="20"/>
        </w:rPr>
        <w:t>. The Investor understands that (i) the Securities may not be offered for sale, sold, assigned or transferred unless (A) registered pursuant to the Securities Act or (B) an exemption exists permitting such Securities to be sold, assigned or transferred without such registration;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Agreement and the Registration Rights Agreement have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laws relating to, or affecting generally, the enforcement of applicable creditors’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The Investor’s primary place of business is in the State of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Short Selling</w:t>
      </w:r>
      <w:r>
        <w:rPr>
          <w:rFonts w:ascii="Times New Roman;Times;Serif" w:hAnsi="Times New Roman;Times;Serif"/>
          <w:b w:val="false"/>
          <w:i w:val="false"/>
          <w:caps w:val="false"/>
          <w:smallCaps w:val="false"/>
          <w:sz w:val="20"/>
        </w:rPr>
        <w:t>.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Ordinary Shares or (ii) hedging transaction, which establishes a net short position with respect to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is not purchasing or acquiring the Securities as a result of any form of general solicitation or general advertising (within the meaning of Regulation D promulgated under the Securities Act) in connection with the offer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Underwriter Status</w:t>
      </w:r>
      <w:r>
        <w:rPr>
          <w:rFonts w:ascii="Times New Roman;Times;Serif" w:hAnsi="Times New Roman;Times;Serif"/>
          <w:b w:val="false"/>
          <w:i w:val="false"/>
          <w:caps w:val="false"/>
          <w:smallCaps w:val="false"/>
          <w:sz w:val="20"/>
        </w:rPr>
        <w:t>. The Investor acknowledges that it will be disclosed as an “underwriter” and a “selling stockholder” in the Registration Statement and in any Prospectus contained therein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Investor that, except as set forth in the (i) SEC Documents or (ii) disclosure schedules attached hereto, which exceptions shall be deemed to be a part of the representations and warranties made hereunder (the “</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as of the Agreement Date and as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except as disclosed in the SEC Documents. The Company has no Subsidiaries except as set forth on </w:t>
      </w:r>
      <w:r>
        <w:rPr>
          <w:rFonts w:ascii="Times New Roman;Times;Serif" w:hAnsi="Times New Roman;Times;Serif"/>
          <w:b w:val="false"/>
          <w:i w:val="false"/>
          <w:caps w:val="false"/>
          <w:smallCaps w:val="false"/>
          <w:sz w:val="20"/>
          <w:u w:val="single"/>
        </w:rPr>
        <w:t>Schedule 4(a)</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(i) The Company has the requisite corporate power and authority to enter into and (subject to any applicable rules and regulations of the Principal Market) perform its obligations under this Agreement, the Registration Rights Agreement and each of the other Transaction Documents, and to issue the Securities in accordance with the terms hereof, (ii) the execution and delivery of the Transaction Documents by the Company and the consummation by it of the transactions contemplated hereby and thereby, including without limitation, the reservation for issuance and the issuance of the Commitment Shares (as defined below in Section 5(e)) and the Purchase Shares issuable under this Agreement, have been duly authorized by the Company’s Board of Directors and no further consent or authorization is required by the Company, its Board of Directors or its stockholders (except as provided in this Agreement), (iii) each of this Agreement and the Registration Rights Agreement has been, and each other Transaction Document shall be on the Commencement Date, duly executed and delivered by the Company and (iv) each of this Agreement and the Registration Rights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(i) general principles of equity or applicable bankruptcy, insolvency, reorganization, moratorium, liquidation or other laws relating to, or affecting generally, the enforcement of creditors’ rights and remedies, (ii) laws relating to the availability of specific performance, injunctive relief or other equitable remedies and (iii) insofar as indemnification and contribution provisions may be limited by applicable law. The Board of Directors, or any committee thereof, has approved the resolutions (the “</w:t>
      </w:r>
      <w:r>
        <w:rPr>
          <w:rFonts w:ascii="Times New Roman;Times;Serif" w:hAnsi="Times New Roman;Times;Serif"/>
          <w:b/>
          <w:i w:val="false"/>
          <w:caps w:val="false"/>
          <w:smallCaps w:val="false"/>
          <w:sz w:val="20"/>
        </w:rPr>
        <w:t>Signing Resolutions</w:t>
      </w:r>
      <w:r>
        <w:rPr>
          <w:rFonts w:ascii="Times New Roman;Times;Serif" w:hAnsi="Times New Roman;Times;Serif"/>
          <w:b w:val="false"/>
          <w:i w:val="false"/>
          <w:caps w:val="false"/>
          <w:smallCaps w:val="false"/>
          <w:sz w:val="20"/>
        </w:rPr>
        <w:t>”) substantially in the form provided to the Investor to authorize this Agreement, the Registration Rights Agreement and the transactions contemplated hereby and thereby. The Signing Resolutions are valid, in full force and effect and have not been modified or supplemented in any respect. The Company has delivered to the Investor a true and correct copy of minutes of a meeting of the Board of Directors, or any committee thereof, at which the Signing Resolutions were duly adopted by the Board of Directors or a unanimous written consent adopting the Signing Resolutions executed by all of the members of the Board of Directors or any committee thereof. Except as set forth in this Agreement, no other approvals or consents of the Board of Directors, any authorized committee thereof, or stockholders (except as provided in this Agreement) is necessary under applicable laws and the Articles of Incorporation (as defined below) or Bylaws (as defined below) to authorize the execution and delivery of the Transaction Documents or any of the transactions contemplated thereby, including, but not limited to, the issuance of the Commitment Shares and the issuance of the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As of the Agreement Date, the authorized capital stock of the Company is set forth on </w:t>
      </w:r>
      <w:r>
        <w:rPr>
          <w:rFonts w:ascii="Times New Roman;Times;Serif" w:hAnsi="Times New Roman;Times;Serif"/>
          <w:b w:val="false"/>
          <w:i w:val="false"/>
          <w:caps w:val="false"/>
          <w:smallCaps w:val="false"/>
          <w:sz w:val="20"/>
          <w:u w:val="single"/>
        </w:rPr>
        <w:t>Schedule 4(c)</w:t>
      </w:r>
      <w:r>
        <w:rPr>
          <w:rFonts w:ascii="Times New Roman;Times;Serif" w:hAnsi="Times New Roman;Times;Serif"/>
          <w:b w:val="false"/>
          <w:i w:val="false"/>
          <w:caps w:val="false"/>
          <w:smallCaps w:val="false"/>
          <w:sz w:val="20"/>
        </w:rPr>
        <w:t> attached hereto.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or made available (provided that any documents filed with the SEC and available on the SEC’s EDGAR system shall be deemed to have been made available) to the Investor true and correct copies of the Company’s Articles of Incorporation or Memorandum &amp; Articles of Association, as amended and as in effect on the Agreement Date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and the Company’s Bylaws, as amended and as in effect on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Securities</w:t>
      </w:r>
      <w:r>
        <w:rPr>
          <w:rFonts w:ascii="Times New Roman;Times;Serif" w:hAnsi="Times New Roman;Times;Serif"/>
          <w:b w:val="false"/>
          <w:i w:val="false"/>
          <w:caps w:val="false"/>
          <w:smallCaps w:val="false"/>
          <w:sz w:val="20"/>
        </w:rPr>
        <w:t>. Upon issuance and payment therefor in accordance with the terms and conditions of this Agreement, the Purchase Shares shall be validly issued, fully paid and nonassessable and free from all taxes, liens, charges, restrictions, rights of first refusal and preemptive rights with respect to the issue thereof, with the holders being entitled to all rights accorded to a holder of Ordinary Shares. Upon issuance in accordance with the terms and conditions of this Agreement, the Commitment Shares (as defined in Section 5(e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be validly issued, fully paid and nonassessable and free from all taxes, liens, charges, restrictions, rights of first refusal and preemptive rights with respect to the issue thereof, with the holders being entitled to all rights accorded to a holder of Ordinary Shares. As of the Commencement Date, a sufficient number of shares of Ordinary Shares shall have been duly authorized and reserved for issuance upon purchase under this Agreement as Purchase Shares, and for issuance pursuant to this Agreement as Commitment Shares (subject, in each case, to equitable adjustment for any reorganization, recapitalization, non-cash dividend, stock split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the consummation by the Company of the transactions contemplated hereby and thereby (including, without limitation, the reservation for issuance and issuance of the Purchase Shares and the Commitment Shares) will not (i) result in a violation of the Articles of Incorporation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the rules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Neither the Company nor its Subsidiaries is in violation of any term of or in default under its certificate or articles of incorporation, any certificate of designation, preferences and rights of any outstanding series of preferred stock of the Company or bylaws or other organizational documents, as applicable. </w:t>
      </w:r>
      <w:r>
        <w:rPr>
          <w:rFonts w:ascii="Times New Roman;Times;Serif" w:hAnsi="Times New Roman;Times;Serif"/>
          <w:b w:val="false"/>
          <w:i w:val="false"/>
          <w:caps w:val="false"/>
          <w:smallCaps w:val="false"/>
          <w:sz w:val="20"/>
          <w:shd w:fill="FFFFFF" w:val="clear"/>
        </w:rPr>
        <w:t>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except as disclosed in the SEC Documents;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r>
        <w:rPr>
          <w:rFonts w:ascii="Times New Roman;Times;Serif" w:hAnsi="Times New Roman;Times;Serif"/>
          <w:b w:val="false"/>
          <w:i w:val="false"/>
          <w:caps w:val="false"/>
          <w:smallCaps w:val="false"/>
          <w:sz w:val="20"/>
        </w:rPr>
        <w:t> Except as specifically contemplated by this Agreement and as required under the Securities Act or applicable state securities laws and the rules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Commencement Date. Since one year prior to the Agreement Date, the Company has not received nor delivered any notices or correspondence from or to the Principal Market, other than notices with respect to listing of additional shares of Ordinary Shares and other routine correspondence. The Principal Market has not commenced any delisting or similar proceedings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12 months preceding the Agreement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shd w:fill="FFFFFF" w:val="clear"/>
        </w:rPr>
        <w:t>The consolidated financial statements of the Company included or incorporated by reference in the SEC Documents, together with the related notes and schedules, presented fairly, in all material respects, the consolidated financial position of the Company as of the dates indicated and the consolidated results of operations, cash flows and changes in stockholders’ equity of the Company for the periods specified and were prepared in compliance in all material respects with the requirements of the Securities Act and Exchange Act, as applicable, as in effect as of the time of filing and in conformity with generally accepted accounting principles in the United States as in effect as of the time of filing (“</w:t>
      </w:r>
      <w:r>
        <w:rPr>
          <w:rFonts w:ascii="Times New Roman;Times;Serif" w:hAnsi="Times New Roman;Times;Serif"/>
          <w:b/>
          <w:i w:val="false"/>
          <w:caps w:val="false"/>
          <w:smallCaps w:val="false"/>
          <w:sz w:val="20"/>
          <w:shd w:fill="FFFFFF" w:val="clear"/>
        </w:rPr>
        <w:t>GAAP</w:t>
      </w:r>
      <w:r>
        <w:rPr>
          <w:rFonts w:ascii="Times New Roman;Times;Serif" w:hAnsi="Times New Roman;Times;Serif"/>
          <w:b w:val="false"/>
          <w:i w:val="false"/>
          <w:caps w:val="false"/>
          <w:smallCaps w:val="false"/>
          <w:sz w:val="20"/>
          <w:shd w:fill="FFFFFF" w:val="clear"/>
        </w:rPr>
        <w:t>”) applied on a consistent basis (except (i) for such adjustments to accounting standards and practices as are noted therein and (ii) in the case of unaudited interim statements, to the extent they may exclude footnotes or may be condensed or summary statements, and subject to immaterial year-end audit adjustments) during the periods involved; the other financial and statistical data with respect to the Company contained or incorporated by reference in the SEC Documents, are based on or derived from sources that the Company believes to be reliable and accurate or fairly present the Company’s good faith estimates that are made on the basis of data derived from such sources; there are no financial statements (historical or pro forma) that are required to be included or incorporated by reference in the SEC Documents that are not included or incorporated by reference as required; the Company does not have any material liabilities or obligations, direct or contingent (including any off balance sheet obligations), not described in the SEC Documents (including the exhibits thereto and documents incorporated by reference thereto), which are required to be described in the SEC Documents (including the exhibits thereto and documents incorporated by reference thereto); and all disclosures contained or incorporated by reference in the SEC Documents, if any, regarding “non-GAAP financial measures” (as such term is defined by the rules and regulations of the SEC) comply in all material respects with Regulation G of the Exchange Act and Item 10 of Regulation S-K under the Securities Act, to the extent applicable.</w:t>
      </w:r>
      <w:r>
        <w:rPr>
          <w:rFonts w:ascii="Times New Roman;Times;Serif" w:hAnsi="Times New Roman;Times;Serif"/>
          <w:b w:val="false"/>
          <w:i w:val="false"/>
          <w:caps w:val="false"/>
          <w:smallCaps w:val="false"/>
          <w:sz w:val="20"/>
        </w:rPr>
        <w:t xml:space="preserve"> T</w:t>
      </w:r>
      <w:r>
        <w:rPr>
          <w:rFonts w:ascii="Times New Roman;Times;Serif" w:hAnsi="Times New Roman;Times;Serif"/>
          <w:b w:val="false"/>
          <w:i w:val="false"/>
          <w:caps w:val="false"/>
          <w:smallCaps w:val="false"/>
          <w:sz w:val="20"/>
          <w:shd w:fill="FFFFFF" w:val="clear"/>
        </w:rPr>
        <w:t>he Company does not have pending before the SEC any request for confidential treatment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Absence of Certain Changes; No Undisclosed Events, Liabilities or Developments; Solvency</w:t>
      </w:r>
      <w:r>
        <w:rPr>
          <w:rFonts w:ascii="Times New Roman;Times;Serif" w:hAnsi="Times New Roman;Times;Serif"/>
          <w:b w:val="false"/>
          <w:i w:val="false"/>
          <w:caps w:val="false"/>
          <w:smallCaps w:val="false"/>
          <w:sz w:val="20"/>
        </w:rPr>
        <w:t xml:space="preserve">. Since January 1, 2025, </w:t>
      </w:r>
      <w:r>
        <w:rPr>
          <w:rFonts w:ascii="Times New Roman;Times;Serif" w:hAnsi="Times New Roman;Times;Serif"/>
          <w:b w:val="false"/>
          <w:i w:val="false"/>
          <w:caps w:val="false"/>
          <w:smallCaps w:val="false"/>
          <w:sz w:val="20"/>
          <w:shd w:fill="FFFFFF" w:val="clear"/>
        </w:rPr>
        <w:t>there has been no event, occurrence or development that has had or that would reasonably be expected to result in a Material Adverse Effect, and there has been no material adverse change in the business, properties, operations, financial condition or results of operations of the Company or its Subsidiaries, taken as a whole.  Except for the issuance of the Securities contemplated by this Agreement, no event, liability, fact, circumstance, occurrence or development has occurred or exists with respect to the Company or its Subsidiaries or their respective businesses, prospects, properties, operations, assets or financial condition that is required to be disclosed by the Company under applicable securities laws at the time this representation is made that has not been publicly disclosed at least one (1) Trading Day prior to the date that this representation is made</w:t>
      </w:r>
      <w:r>
        <w:rPr>
          <w:rFonts w:ascii="Times New Roman;Times;Serif" w:hAnsi="Times New Roman;Times;Serif"/>
          <w:b w:val="false"/>
          <w:i w:val="false"/>
          <w:caps w:val="false"/>
          <w:smallCaps w:val="false"/>
          <w:sz w:val="20"/>
        </w:rPr>
        <w:t>. The Company has not taken any steps, and does not currently expect to take any steps, to seek protection pursuant to any Bankruptcy Law. The Company is financially solvent and except as set forth on Schedule 4(g) and as disclosed in the SEC Documents, is generally able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Except with respect to the Disclosed Litigation Matters,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shd w:fill="FFFFFF" w:val="clear"/>
        </w:rPr>
        <w:t>Action</w:t>
      </w:r>
      <w:r>
        <w:rPr>
          <w:rFonts w:ascii="Times New Roman;Times;Serif" w:hAnsi="Times New Roman;Times;Serif"/>
          <w:b w:val="false"/>
          <w:i w:val="false"/>
          <w:caps w:val="false"/>
          <w:smallCaps w:val="false"/>
          <w:sz w:val="20"/>
          <w:shd w:fill="FFFFFF" w:val="clear"/>
        </w:rPr>
        <w:t>”), which (i) adversely affects or challenges the legality, validity or enforceability of any of the Transaction Documents or the Securities or (ii) would, if there were an unfavorable decision, have or reasonably be expected to result in a Material Adverse Effect. Except with respect to the Disclosed Litigation Matters, neither the Company nor any Subsidiary, nor any director or officer thereof, is or has been the subject of any Action involving a claim of violation of or liability under federal or state securities laws or a claim of breach of fiduciary duty, which would, if there were an unfavorable decision, have or reasonably be expected to result in a Material Adverse Effect. There has not been, and to the knowledge of the Company,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Acknowledgment Regarding Investor’s Status</w:t>
      </w:r>
      <w:r>
        <w:rPr>
          <w:rFonts w:ascii="Times New Roman;Times;Serif" w:hAnsi="Times New Roman;Times;Serif"/>
          <w:b w:val="false"/>
          <w:i w:val="false"/>
          <w:caps w:val="false"/>
          <w:smallCaps w:val="false"/>
          <w:sz w:val="20"/>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General Solicitation; 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 contemplated hereby. Neither the Company, nor or any of its affiliates, nor any Person acting on their behalf has, directly or indirectly, made any offers or sales of any security or solicited any offers to buy any security, under circumstances that would require registration of the offer and sale of any of the Securities under the Securities Act, whether through integration with prior offerings or otherwise, or cause this offering of the Securities to be integrated with prior offerings by the Company in a manner that would require stockholder approval pursuant to the rules of the Principal Market. The issuance and sale of the Securities hereunder, as of the date of this Agreement, does not contravene the rules and regulations of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Documents and which the failure to so have would reasonably be expected to have a Material Adverse Effect (collectively, the “</w:t>
      </w:r>
      <w:r>
        <w:rPr>
          <w:rFonts w:ascii="Times New Roman;Times;Serif" w:hAnsi="Times New Roman;Times;Serif"/>
          <w:b/>
          <w:i w:val="false"/>
          <w:caps w:val="false"/>
          <w:smallCaps w:val="false"/>
          <w:sz w:val="20"/>
          <w:shd w:fill="FFFFFF" w:val="clear"/>
        </w:rPr>
        <w:t>Intellectual Property Rights</w:t>
      </w:r>
      <w:r>
        <w:rPr>
          <w:rFonts w:ascii="Times New Roman;Times;Serif" w:hAnsi="Times New Roman;Times;Serif"/>
          <w:b w:val="false"/>
          <w:i w:val="false"/>
          <w:caps w:val="false"/>
          <w:smallCaps w:val="false"/>
          <w:sz w:val="20"/>
          <w:shd w:fill="FFFFFF" w:val="clear"/>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Documents,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shd w:fill="FFFFFF" w:val="clear"/>
        </w:rPr>
        <w:t>Hazardous Materials</w:t>
      </w:r>
      <w:r>
        <w:rPr>
          <w:rFonts w:ascii="Times New Roman;Times;Serif" w:hAnsi="Times New Roman;Times;Serif"/>
          <w:b w:val="false"/>
          <w:i w:val="false"/>
          <w:caps w:val="false"/>
          <w:smallCaps w:val="false"/>
          <w:sz w:val="20"/>
          <w:shd w:fill="FFFFFF" w:val="clear"/>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shd w:fill="FFFFFF" w:val="clear"/>
        </w:rPr>
        <w:t>Environmental Laws</w:t>
      </w:r>
      <w:r>
        <w:rPr>
          <w:rFonts w:ascii="Times New Roman;Times;Serif" w:hAnsi="Times New Roman;Times;Serif"/>
          <w:b w:val="false"/>
          <w:i w:val="false"/>
          <w:caps w:val="false"/>
          <w:smallCaps w:val="false"/>
          <w:sz w:val="20"/>
          <w:shd w:fill="FFFFFF" w:val="clear"/>
        </w:rPr>
        <w:t>”); (ii) have received all permits licenses or other approvals required of them under applicable Environmental Laws to conduct their respective businesses; and (iii) are in compliance with all terms and conditions of any such permit, license or approval, except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Except as set forth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encumbrances and defects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to the knowledge of the Company, enforceable leases with which the Company and its Subsidiaries are in compliance with such exceptions as are not material and do not interfere with the use made and proposed to be made of such property and buildings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Company and the Subsidiaries possess all certificates, authorizations and permits issued by the appropriate federal, state, local or foreign regulatory authorities necessary to conduct their respective businesses as described in the SEC Documents, except where the failure to possess such permits would not reasonably be expected to result in a Material Adverse Effect (“</w:t>
      </w:r>
      <w:r>
        <w:rPr>
          <w:rFonts w:ascii="Times New Roman;Times;Serif" w:hAnsi="Times New Roman;Times;Serif"/>
          <w:b/>
          <w:i w:val="false"/>
          <w:caps w:val="false"/>
          <w:smallCaps w:val="false"/>
          <w:sz w:val="20"/>
          <w:shd w:fill="FFFFFF" w:val="clear"/>
        </w:rPr>
        <w:t>Material Permits</w:t>
      </w:r>
      <w:r>
        <w:rPr>
          <w:rFonts w:ascii="Times New Roman;Times;Serif" w:hAnsi="Times New Roman;Times;Serif"/>
          <w:b w:val="false"/>
          <w:i w:val="false"/>
          <w:caps w:val="false"/>
          <w:smallCaps w:val="false"/>
          <w:sz w:val="20"/>
          <w:shd w:fill="FFFFFF" w:val="clear"/>
        </w:rPr>
        <w:t>”), and neither the Company nor any Subsidiary has received any notice of any Proceeding relating to the revocation or modification of any Material Permit. For all purposes of this Agreement, the term “</w:t>
      </w:r>
      <w:r>
        <w:rPr>
          <w:rFonts w:ascii="Times New Roman;Times;Serif" w:hAnsi="Times New Roman;Times;Serif"/>
          <w:b/>
          <w:i w:val="false"/>
          <w:caps w:val="false"/>
          <w:smallCaps w:val="false"/>
          <w:sz w:val="20"/>
          <w:shd w:fill="FFFFFF" w:val="clear"/>
        </w:rPr>
        <w:t>Proceeding</w:t>
      </w:r>
      <w:r>
        <w:rPr>
          <w:rFonts w:ascii="Times New Roman;Times;Serif" w:hAnsi="Times New Roman;Times;Serif"/>
          <w:b w:val="false"/>
          <w:i w:val="false"/>
          <w:caps w:val="false"/>
          <w:smallCaps w:val="false"/>
          <w:sz w:val="20"/>
          <w:shd w:fill="FFFFFF" w:val="clear"/>
        </w:rPr>
        <w:t>” means </w:t>
      </w:r>
      <w:r>
        <w:rPr>
          <w:rFonts w:ascii="Times New Roman;Times;Serif" w:hAnsi="Times New Roman;Times;Serif"/>
          <w:b w:val="false"/>
          <w:i w:val="false"/>
          <w:caps w:val="false"/>
          <w:smallCaps w:val="false"/>
          <w:sz w:val="20"/>
        </w:rPr>
        <w:t>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Articles of Incorporation or the laws of the state of its incorporation which is or could become applicable to the Investor as a result of the transactions contemplated by this Agreement, including, without limitation, the Company’s issuance of the Securities and the Investor’s ownership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that will be timely publicly disclosed by the Company, the Company confirms that neither it nor any other Person authorized to act on its behalf has provided the Investor or its agents or counsel with any information that it believes constitutes or might constitute material, non-public information which is not otherwise disclosed in the SEC Documents. The Company understands and confirms that the Investor will rely on the foregoing representation in effecting purchases and sales of securities of the Company. All of the disclosure furnished in writing by or on behalf of the Company by a Person authorized by the Company to the Investor regarding the Company, its business and the transactions contemplated hereby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at the time when made, not misleading. The Company acknowledges and agrees that the Investor neither makes nor has made any representations or warranties with respect to the transactions contemplated hereby other than those specifically set forth in Section 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has, and to the Company’s knowledge, no agent or other person acting on behalf of the Company and each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and each Subsidiary (or made by any person acting on behalf of the Company and each Subsidiary of which the Company is aware) which is in violation of law, or (iv) violated in any material respect any provision of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DTC Eligibility</w:t>
      </w:r>
      <w:r>
        <w:rPr>
          <w:rFonts w:ascii="Times New Roman;Times;Serif" w:hAnsi="Times New Roman;Times;Serif"/>
          <w:b w:val="false"/>
          <w:i w:val="false"/>
          <w:caps w:val="false"/>
          <w:smallCaps w:val="false"/>
          <w:sz w:val="20"/>
        </w:rPr>
        <w:t>. The Company, through the Transfer Agent, currently participates in the DTC Fast Automated Securities Transfer (FAST) Program and the Ordinary Shares can be transferred electronically to third parties via the DTC Fast Automated Securities Transfer (FAST)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Sarbanes-Oxley Act; Internal Controls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Company and the Subsidiaries are in compliance in all material respects with all applicable requirements of the Sarbanes-Oxley Act of 2002 that are effective as of the Agreement Date, and all applicable rules and regulations promulgated by the SEC thereunder that are effective as of the Agreement Date.  Except as disclosed in the SEC Documents,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shd w:fill="FFFFFF" w:val="clear"/>
        </w:rPr>
        <w:t>Evaluation Date</w:t>
      </w:r>
      <w:r>
        <w:rPr>
          <w:rFonts w:ascii="Times New Roman;Times;Serif" w:hAnsi="Times New Roman;Times;Serif"/>
          <w:b w:val="false"/>
          <w:i w:val="false"/>
          <w:caps w:val="false"/>
          <w:smallCaps w:val="false"/>
          <w:sz w:val="20"/>
          <w:shd w:fill="FFFFFF" w:val="clear"/>
        </w:rPr>
        <w:t>”). The Company presented in its most recently filed periodic report under the Exchange Act the conclusions of the certifying officers about the effectiveness of the disclosure controls and procedures based on their evaluations as of the Evaluation Date. Except as disclosed in the Company’s most recently filed period report under the Exchange Act,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Section 4(w)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Neither the Company or its Subsidiaries is or, after giving effect to the offering and sale of the Securities to the Investor pursuant to this Agreement, will be, required to be registered as an “investment company” or an entity “controlled” by an “investment company,” as such terms are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is registered pursuant to Section 12(b) of the Exchange Act, and the Company has taken no action designed to, or which to its knowledge is likely to have the effect of, terminating the registration of the Ordinary Shares pursuant to the Exchange Act nor has the Company received any notification that the SEC is currently contemplating terminating such registration. The issued and outstanding shares of Ordinary Shares are quoted on the Principal Market, and the Company is in compliance in all material respects with the current requirements of the Principal Market; and the Securities will be quoted on the Principal Market at the effective date of the Registration Statement. The Company has not, in the 12 months preceding the Agreement Date, received any notice from the Principal Market to the effect that the Company is not in compliance with the requirements of the Principal Market. The Company is, and currently has no reason to believe that it will not in the reasonably foreseeable future continue to be, in compliance with all such listing and maintenance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As of the Agreement Date, the Company has engaged an accounting firm that is a registered public accounting firm as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No Market Manipulation</w:t>
      </w:r>
      <w:r>
        <w:rPr>
          <w:rFonts w:ascii="Times New Roman;Times;Serif" w:hAnsi="Times New Roman;Times;Serif"/>
          <w:b w:val="false"/>
          <w:i w:val="false"/>
          <w:caps w:val="false"/>
          <w:smallCaps w:val="false"/>
          <w:sz w:val="20"/>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Shell Company Status</w:t>
      </w:r>
      <w:r>
        <w:rPr>
          <w:rFonts w:ascii="Times New Roman;Times;Serif" w:hAnsi="Times New Roman;Times;Serif"/>
          <w:b w:val="false"/>
          <w:i w:val="false"/>
          <w:caps w:val="false"/>
          <w:smallCaps w:val="false"/>
          <w:sz w:val="20"/>
        </w:rPr>
        <w:t>. The Company is not currently an issuer identified in Rule 144(i)(1)(i)  under the Securities Act, and, if it was at any time previously been such an issuer, then the Company is subject to the reporting requirements of Section 13 or 15(d) of the Exchange Act, has filed all reports and other materials required to be filed by Section 13 or 15(d) of the Exchange Act, as applicable during the preceding 12 months, and, as of a date at least one year prior to the Agreement Date, has filed current “Form 10 information” (or, as the Company is a foreign private issuer, the equivalent information on Form 20-F) with the SEC (as defined in Rule 144(i)(3) of the Securities Act) reflecting its status as an entity that is no longer an issuer described in Rule 144(i)(1)(i)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(cc)          </w:t>
      </w:r>
      <w:r>
        <w:rPr>
          <w:rFonts w:ascii="Times New Roman;Times;Serif" w:hAnsi="Times New Roman;Times;Serif"/>
          <w:b w:val="false"/>
          <w:i w:val="false"/>
          <w:caps w:val="false"/>
          <w:smallCaps w:val="false"/>
          <w:sz w:val="20"/>
          <w:u w:val="single"/>
          <w:shd w:fill="FFFFFF" w:val="clear"/>
        </w:rPr>
        <w:t>Office of Foreign Assets Control</w:t>
      </w:r>
      <w:r>
        <w:rPr>
          <w:rFonts w:ascii="Times New Roman;Times;Serif" w:hAnsi="Times New Roman;Times;Serif"/>
          <w:b w:val="false"/>
          <w:i w:val="false"/>
          <w:caps w:val="false"/>
          <w:smallCaps w:val="false"/>
          <w:sz w:val="20"/>
          <w:shd w:fill="FFFFFF" w:val="clear"/>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(dd)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operations of the Company and its Subsidiaries are conducted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shd w:fill="FFFFFF" w:val="clear"/>
        </w:rPr>
        <w:t>Money Laundering Laws</w:t>
      </w:r>
      <w:r>
        <w:rPr>
          <w:rFonts w:ascii="Times New Roman;Times;Serif" w:hAnsi="Times New Roman;Times;Serif"/>
          <w:b w:val="false"/>
          <w:i w:val="false"/>
          <w:caps w:val="false"/>
          <w:smallCaps w:val="false"/>
          <w:sz w:val="20"/>
          <w:shd w:fill="FFFFFF" w:val="clear"/>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(i) </w:t>
      </w:r>
      <w:r>
        <w:rPr>
          <w:rFonts w:ascii="Times New Roman;Times;Serif" w:hAnsi="Times New Roman;Times;Serif"/>
          <w:b w:val="false"/>
          <w:i w:val="false"/>
          <w:caps w:val="false"/>
          <w:smallCaps w:val="false"/>
          <w:sz w:val="20"/>
          <w:shd w:fill="FFFFFF" w:val="clear"/>
        </w:rPr>
        <w:t>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(hh)         </w:t>
      </w:r>
      <w:r>
        <w:rPr>
          <w:rFonts w:ascii="Times New Roman;Times;Serif" w:hAnsi="Times New Roman;Times;Serif"/>
          <w:b w:val="false"/>
          <w:i w:val="false"/>
          <w:caps w:val="false"/>
          <w:smallCaps w:val="false"/>
          <w:sz w:val="20"/>
          <w:u w:val="single"/>
          <w:shd w:fill="FFFFFF" w:val="clear"/>
        </w:rPr>
        <w:t>To the Company’s knowledge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allegations of sexual harassment, sexual misconduct or discrimination, whether such discrimination arises from race, ethnic background, sex, gender status, age or otherwise (“</w:t>
      </w:r>
      <w:r>
        <w:rPr>
          <w:rFonts w:ascii="Times New Roman;Times;Serif" w:hAnsi="Times New Roman;Times;Serif"/>
          <w:b/>
          <w:i w:val="false"/>
          <w:caps w:val="false"/>
          <w:smallCaps w:val="false"/>
          <w:sz w:val="20"/>
        </w:rPr>
        <w:t>Misconduct</w:t>
      </w:r>
      <w:r>
        <w:rPr>
          <w:rFonts w:ascii="Times New Roman;Times;Serif" w:hAnsi="Times New Roman;Times;Serif"/>
          <w:b w:val="false"/>
          <w:i w:val="false"/>
          <w:caps w:val="false"/>
          <w:smallCaps w:val="false"/>
          <w:sz w:val="20"/>
        </w:rPr>
        <w:t>”) have been made involving any current or former director, officer, employee or independent contractor of the Company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have entered into any settlement agreements related to allegations of Misconduct by any current or former director, officer, employee, or independent contractor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(ii)            </w:t>
      </w:r>
      <w:r>
        <w:rPr>
          <w:rFonts w:ascii="Times New Roman;Times;Serif" w:hAnsi="Times New Roman;Times;Serif"/>
          <w:b w:val="false"/>
          <w:i w:val="false"/>
          <w:caps w:val="false"/>
          <w:smallCaps w:val="false"/>
          <w:sz w:val="20"/>
          <w:u w:val="single"/>
          <w:shd w:fill="FFFFFF" w:val="clear"/>
        </w:rPr>
        <w:t>Cybersecurity</w:t>
      </w:r>
      <w:r>
        <w:rPr>
          <w:rFonts w:ascii="Times New Roman;Times;Serif" w:hAnsi="Times New Roman;Times;Serif"/>
          <w:b w:val="false"/>
          <w:i w:val="false"/>
          <w:caps w:val="false"/>
          <w:smallCaps w:val="false"/>
          <w:sz w:val="20"/>
          <w:shd w:fill="FFFFFF" w:val="clear"/>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i w:val="false"/>
          <w:caps w:val="false"/>
          <w:smallCaps w:val="false"/>
          <w:sz w:val="20"/>
          <w:shd w:fill="FFFFFF" w:val="clear"/>
        </w:rPr>
        <w:t>IT Systems and Data</w:t>
      </w:r>
      <w:r>
        <w:rPr>
          <w:rFonts w:ascii="Times New Roman;Times;Serif" w:hAnsi="Times New Roman;Times;Serif"/>
          <w:b w:val="false"/>
          <w:i w:val="false"/>
          <w:caps w:val="false"/>
          <w:smallCaps w:val="false"/>
          <w:sz w:val="20"/>
          <w:shd w:fill="FFFFFF" w:val="clear"/>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be reasonably expected to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customary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Smaller Reporting Company Status</w:t>
      </w:r>
      <w:r>
        <w:rPr>
          <w:rFonts w:ascii="Times New Roman;Times;Serif" w:hAnsi="Times New Roman;Times;Serif"/>
          <w:b w:val="false"/>
          <w:i w:val="false"/>
          <w:caps w:val="false"/>
          <w:smallCaps w:val="false"/>
          <w:sz w:val="20"/>
        </w:rPr>
        <w:t>. As of the Agreement Date, the Company is, and as of the Commencement Date, the Company is a “smaller reporting company” as defined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except for a Disqualification Event covered by Rule 506(d)(2) or (d)(3) under the Securities Act. The Company has exercised reasonable care to determine whether any Issuer Covered Person is subject to a Disqualification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COVENANTS.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29"/>
        <w:gridCol w:w="9603"/>
      </w:tblGrid>
      <w:tr>
        <w:trPr/>
        <w:tc>
          <w:tcPr>
            <w:tcW w:w="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(a)</w:t>
            </w:r>
          </w:p>
        </w:tc>
        <w:tc>
          <w:tcPr>
            <w:tcW w:w="9603" w:type="dxa"/>
            <w:tcBorders/>
            <w:vAlign w:val="center"/>
          </w:tcPr>
          <w:p>
            <w:pPr>
              <w:pStyle w:val="TableContents"/>
              <w:bidi w:val="0"/>
              <w:spacing w:before="0" w:after="283"/>
              <w:jc w:val="both"/>
              <w:rPr/>
            </w:pPr>
            <w:r>
              <w:rPr>
                <w:u w:val="single"/>
              </w:rPr>
              <w:t>Filing of Current Report and Registration Statement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that it shall, within the time required under the Exchange Act, file with the SEC a report on Form 6-K relating to the transactions contemplated by, and describing the material terms and conditions of, this Agreement and the Registration Rights Agreement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The Company shall permit the Investor to review and comment upon the substantially final pre-filing draft version of the Current Report at least two Trading Days prior to its filing with the SEC, and the Company shall give due consideration to all such comments. The Investor shall use its reasonable best efforts to comment upon the Current Report within one Trading Day from the date the Investor receives the substantially final version thereof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register with the SEC the issuance of the Purchase Shares and the Commitment Shares, within fifteen (15) calendar days after the Agreement Date, on its effective Registration Statement on Form F-3 (Registration No. 333-273720), via the filing of a prospectus supplement and all other required filings in accordance with applicable SEC rules, regulations and interpretations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compliance with the terms of the Registration Rights Agreement, covering the primary issuance and sale by the Company of the maximum number of Purchase Shares and Commitment Shares as permitted to be included thereon in accordance with applicable SEC rules, regulations and interpretations. The Registration Statement shall relate to the transactions contemplated by, and describing the material terms and conditions of, this Agreement and disclosing all information relating to the transactions contemplated hereby required to be disclosed in the Registration Statement and the prospectus supplement as of the date of the Registration Statement, including, without limitation, information required to be disclosed in the section captioned “Plan of Distribution” in the Registration Statement. The Company shall permit the Investor to review and comment upon the Registration Statement within a reasonable time prior to its filing with the SEC, the Company shall give reasonable consideration to all such comments, and the Company shall not file the Current Report or the Registration Statement with the SEC in a form to which the Investor reasonably objects.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Registration Statement, and shall otherwise cooperate with the Company as reasonably requested by the Company in connection with the preparation and filing of the Current Report and the Registration Statement with the SEC. The Company shall have no knowledge of any untrue statement (or alleged untrue statement) of a material fact or omission (or alleged omission) of a material fact required to be stated therein or necessary to make the statements therein, in light of the circumstances under which they were made, not misleading, in any pre-existing registration statement filed or any new registration statement or prospectus which is a part of the foregoing. The Company shall promptly give the Investor notice of any event (including the passage of time) which makes the final prospectus not to be in compliance with Section 5(b) or 10 of the Securities Act and shall use its commercially reasonable efforts thereafter to file with the SEC any Post-Effective Amendment to the Registration Statement, amended prospectus or prospectus supplement in order to comply with Section 5(b) or 10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The Company shall take all such action, if any, as is reasonably necessary in order to obtain an exemption for or to register or qualify (i) the issuance of the Commitment Shares and the sale of the Purchase Shares to the Investor under this Agreement and (ii) any subsequent resale of all Commitment Shares and all Purchase Shares and VWAP Shares by the Investor, in each case, under applicable securities or “Blue Sky” laws of the states of the United States in such states as is reasonably requested by the Investor from time to time, and shall provide evidence of any such action so taken to the Investor;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Listing/DTC</w:t>
      </w:r>
      <w:r>
        <w:rPr>
          <w:rFonts w:ascii="Times New Roman;Times;Serif" w:hAnsi="Times New Roman;Times;Serif"/>
          <w:b w:val="false"/>
          <w:i w:val="false"/>
          <w:caps w:val="false"/>
          <w:smallCaps w:val="false"/>
          <w:sz w:val="20"/>
        </w:rPr>
        <w:t xml:space="preserve">. If the Ordinary Shares is listed on an Exchange, the Company shall use its commercially reasonable efforts to promptly secure the listing of all of the Purchase Shares, VWAP Shares and Commitment Shares to be issued to the Investor hereunder on the Principal Market (subject to official notice of issuance if on any exchange of The Nasdaq Stock Market or if listed on any exchange operated by the New York Stock Exchange, prior to issuance), and shall use commercially reasonable efforts to maintain, so long as any shares of Ordinary Shares shall be so listed, such listing of all such Securities from time to time issuable hereunder. The Company shall use commercially reasonable efforts to comply with the requirements of the Principal Market including the Company’s reporting, filing and other obligations under the Bylaws or Rules and Regulations of the Principal Market. Neither the Company nor any of its Subsidiaries shall take any action that would reasonably be expected to result in the delisting or suspension, as applicable of the Ordinary Shares on the Principal Market. The Company shall promptly, and in no event later than four Trading Days after receipt, provide to the Investor copies of any notices it receives from any Person regarding the continued eligibility of the Ordinary Shares for listing or trading on the Principal Market;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provide the Investor copies of any such notice that the Company reasonably believes constitutes material non-public information and the Company would not be required to publicly disclose such notice in any report or statement filed with the SEC and under the Exchange Act or the Securities Act. Notwithstanding the foregoing, the requirements of this Section 5(c) shall be satisfied to the extent that the contents of such notice are made available through a document filed by the Company with the SEC and available on the SEC’s EDGAR system within the required time period. The Company shall pay all fees and expenses in connection with satisfying its obligations under this Section 5c). The Company shall take commercially reasonable actions necessary to ensure that its Ordinary Shares can be transferred electronically as DWAC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Prohibition of Short Sales and Hedging Transactions</w:t>
      </w:r>
      <w:r>
        <w:rPr>
          <w:rFonts w:ascii="Times New Roman;Times;Serif" w:hAnsi="Times New Roman;Times;Serif"/>
          <w:b w:val="false"/>
          <w:i w:val="false"/>
          <w:caps w:val="false"/>
          <w:smallCaps w:val="false"/>
          <w:sz w:val="20"/>
        </w:rPr>
        <w:t>. The Investor agrees that beginning on the date of this Agreement and ending on the date of termination of this Agreement as provided in Section 11, the Investor and its agents, representatives and affiliates shall not in any manner whatsoever (i) enter into or effect, directly or indirectly, any (x) “short sale” (as such term is defined in Rule 200 of Regulation SHO of the Exchange Act) of the Ordinary Shares or (y) hedging transaction, which establishes a net short position with respect to the Ordinary Shares or (ii) be in violation of Regulation SHO.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Issuance of Commitment Shares</w:t>
      </w:r>
      <w:r>
        <w:rPr>
          <w:rFonts w:ascii="Times New Roman;Times;Serif" w:hAnsi="Times New Roman;Times;Serif"/>
          <w:b w:val="false"/>
          <w:i w:val="false"/>
          <w:caps w:val="false"/>
          <w:smallCaps w:val="false"/>
          <w:sz w:val="20"/>
        </w:rPr>
        <w:t>. As consideration for the Investor’s commitment to purchase Ordinary Shares under this Agreement, the Company shall issue to the Investor, in Ordinary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an aggregate number of Ordinary Shares equal to $300,000.00 over the course of the Agreement. The Company shall issue these Commitment Shares by the Transfer Agent to the Investor an amount of Ordinary Shares equal to $150,000 at a price per share based on the Closing Sale Price of the Ordinary Shares on the day the Investor has purchased an aggregate of $5,000,000 of Shares (the “</w:t>
      </w:r>
      <w:r>
        <w:rPr>
          <w:rFonts w:ascii="Times New Roman;Times;Serif" w:hAnsi="Times New Roman;Times;Serif"/>
          <w:b/>
          <w:i w:val="false"/>
          <w:caps w:val="false"/>
          <w:smallCaps w:val="false"/>
          <w:sz w:val="20"/>
        </w:rPr>
        <w:t>Threshold Date</w:t>
      </w:r>
      <w:r>
        <w:rPr>
          <w:rFonts w:ascii="Times New Roman;Times;Serif" w:hAnsi="Times New Roman;Times;Serif"/>
          <w:b w:val="false"/>
          <w:i w:val="false"/>
          <w:caps w:val="false"/>
          <w:smallCaps w:val="false"/>
          <w:sz w:val="20"/>
        </w:rPr>
        <w:t>”), and an additional amount of $150,000 on the day the Investor has purchased an aggregate of $15,000,000; which such shares shall also constitute Commitment Shares. If the Investor crosses $30,000,000 in purchased Ordinary Shares, the Company shall issue an additional $300,000.00 of Ordinary Shares. The Company shall include on the Registration Statement filed with the SEC, all Commitment Shares, provided that, in addition to all other remedies at law or in equity or otherwise under this Agreement, failure to timely do so will result in liquidated damages equal to the value of the Commitment Shares (calculated based on the Closing Sale Price of the Ordinary Shares on the Commitment Shares Determination Date), being immediately due and payable to the Investor at its election in the form of cash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Due Diligence; Non-Public Information</w:t>
      </w:r>
      <w:r>
        <w:rPr>
          <w:rFonts w:ascii="Times New Roman;Times;Serif" w:hAnsi="Times New Roman;Times;Serif"/>
          <w:b w:val="false"/>
          <w:i w:val="false"/>
          <w:caps w:val="false"/>
          <w:smallCaps w:val="false"/>
          <w:sz w:val="20"/>
        </w:rPr>
        <w:t xml:space="preserve">. The Investor shall have the right, from time to time as the Investor may reasonably deem appropriate, to perform reasonable due diligence on the Company during normal business hours upon three Trading Days’ prior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Agreement Date, the Investor’s continued due diligence shall not be a condition precedent to the Commencement or to the Investor’s obligation to accept each Single Day Purchase Notice and each VWAP Purchase Notice timely delivered by the Company to the Investor in accordance with this Agreement. The Company and its officers and employees shall provide material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The Company confirms that neither it nor any other Person acting on its behalf shall provide the Investor or its agents or counsel with any information that constitutes or may reasonably be considered to constitute material, non-public information, unless a simultaneous public announcement thereof is made by the Company in the manner contemplated by Regulation FD. In the event of a breach of the foregoing covenant by the Company or any Person acting on its behalf (as determined in the reasonable good faith judgment of the Investor), in addition to any other remedy provided herein or in the other Transaction Documents, if the Investor is holding any Securities at the time of the disclosure of material, non-public information,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two Trading Days to either (i) demonstrate that such information is not material non-public information to the reasonable satisfaction of the Investor or (ii) publicly disclose such material, non-public information prior to any such disclosure by the Investor. The Investor shall not have any liability to the Company, any of its Subsidiaries, or any of their respective directors, officers, employees, stockholders or agents, for any such disclosure, so long as the Investor has complied with this Section 5(f</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The Company understands and confirms that the Investor shall be relying on the foregoing covenants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Purchase Records</w:t>
      </w:r>
      <w:r>
        <w:rPr>
          <w:rFonts w:ascii="Times New Roman;Times;Serif" w:hAnsi="Times New Roman;Times;Serif"/>
          <w:b w:val="false"/>
          <w:i w:val="false"/>
          <w:caps w:val="false"/>
          <w:smallCaps w:val="false"/>
          <w:sz w:val="20"/>
        </w:rPr>
        <w:t>. The Investor and the Company shall each maintain records showing the remaining Available Amount at any given time and the dates and Purchase Amounts for each Single Day Purchase and VWAP Purchase or shall use such other method, reasonably satisfactory to the Investor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The Company shall pay any and all transfer, stamp or similar taxes that may be payable with respect to the issuance and delivery of any shares of Ordinary Shares to the Investor made under this Agreement. For the avoidance of doubt, any other taxes incurred by the Investor (including any taxes on income resulting from the transactions contemplated by this Agreement) shall solely be the responsibility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from each sale of Purchase Shares hereunder for any general working capital or other corporate purpose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Other Transactions</w:t>
      </w:r>
      <w:r>
        <w:rPr>
          <w:rFonts w:ascii="Times New Roman;Times;Serif" w:hAnsi="Times New Roman;Times;Serif"/>
          <w:b w:val="false"/>
          <w:i w:val="false"/>
          <w:caps w:val="false"/>
          <w:smallCaps w:val="false"/>
          <w:sz w:val="20"/>
        </w:rPr>
        <w:t>. During the term of this Agreement (i)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Purchase Shares and the Commitment Shares to the Investor in accordance with the terms of the Transaction Documents; (ii) the Company shall not enter into any “equity line” or “standby equity purchase” agreements or any other substantially similar transactions whereby an investor can purchase securities from the Company. The Investor shall be entitled to seek injunctive relief against the Company to preclude any such issuance, which remedy shall be in addition to any right to collect damages, without the necessity of showing economic loss and without any bond or other security being required. Notwithstanding the foregoing, the restrictions set forth in this Section 5(j) shall not apply to Ordinary Shares (or securities convertible into Ordinary Shares) issued by the Company as consideration in a bona fide acquisition by the Company of the business, assets, or equity interests of an unaffiliated third-party in an arm’s length business combination transaction approved by the Company’s Board of Directors, the principal purpose of which is not the raising of capital or with respect to an Exempt Issuance. If the agreement expires or is terminated in advance, the matters stipulated in Section 5(j) shall be terminated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From the date of this Agreement, neither the Company, nor or any of its affiliates will, and the Company shall use its commercially reasonable efforts to ensure that no Person acting on their behalf will, directly or indirectly, make any offers or sales of any security or solicit any offers to buy any security, under circumstances that would reasonably be expected to (i) require registration of the offer and sale by the Company to the Investor of any of the Securities under the Securities Act, or (ii) cause this offering of the Securities by the Company to the Investor to be integrated with other offerings by the Company in a manner that would require stockholder approval pursuant to the rules of the Principal Market, unless in the case of this clause (ii), stockholder approval is obtained before the closing of such subsequent transaction in accordance with the rules of such Principal Market. If the agreement expires or is terminated in advance, the matters stipulated in Section 5(k) shall be terminated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expressly set forth in the Transaction Documents or any other writing to the contrary, each party shall pay the fees and expenses of its advisers, counsel, accountants and other experts, if any, and all other expenses incurred by such party incident to the negotiation and preparation this Agreement,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the Company shall promptly reimburse the Investor for $10,000 of its legal fees, which the Investor may elect to satisfy in connection with the first purchase of shares of Ordinary Shares under this Agreement, pursuant to which the Investor may be allowed to withhold $10,000 from the first Purchase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Bring Down Representations</w:t>
      </w:r>
      <w:r>
        <w:rPr>
          <w:rFonts w:ascii="Times New Roman;Times;Serif" w:hAnsi="Times New Roman;Times;Serif"/>
          <w:b w:val="false"/>
          <w:i w:val="false"/>
          <w:caps w:val="false"/>
          <w:smallCaps w:val="false"/>
          <w:sz w:val="20"/>
        </w:rPr>
        <w:t>. In addition to a legal opinion to be delivered on the Agreement Date, the Investor shall have the right to request and receive up to once per fiscal quarter, upon five ( days prior written notice, a certificate, executed by the Chief Executive Officer, President or Chief Financial Officer of the Company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certifying that 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such date and as though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by the Transaction Documents to be performed, satisfied or complied with as of such date. In connection with such quarterly bring down, the company’s counsel shall deliver to the Investor a legal opinion. All legal opinions delivered under this Agreement shall be reasonably acceptable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The Company may, from time to time, update the Disclosure Schedules as may be required to satisfy the conditions set forth in Section 8(c) and Section 5(m). Notwithstanding anything in this Agreement to the contrary, no update to the Disclosure Schedule pursuant to this Section 5(n) shall cure any breach of a representation or warranty of the Company contained in this Agreement and made prior to the update and shall not affect any of the Investor’s rights or remedies with respect thereto. 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Reasonable Efforts</w:t>
      </w:r>
      <w:r>
        <w:rPr>
          <w:rFonts w:ascii="Times New Roman;Times;Serif" w:hAnsi="Times New Roman;Times;Serif"/>
          <w:b w:val="false"/>
          <w:i w:val="false"/>
          <w:caps w:val="false"/>
          <w:smallCaps w:val="false"/>
          <w:sz w:val="20"/>
        </w:rPr>
        <w:t>. The Company will use best efforts, following the delivery of any Single Day Purchase Notice and/or VWAP Purchase Notice, to have any Purchase Shares pursuant to such notice delivered to the Investor as soon as practicable following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Compensation For Buy-In On Failure To Timely Deliver Purchase Notice Shares</w:t>
      </w:r>
      <w:r>
        <w:rPr>
          <w:rFonts w:ascii="Times New Roman;Times;Serif" w:hAnsi="Times New Roman;Times;Serif"/>
          <w:b w:val="false"/>
          <w:i w:val="false"/>
          <w:caps w:val="false"/>
          <w:smallCaps w:val="false"/>
          <w:sz w:val="20"/>
        </w:rPr>
        <w:t xml:space="preserve">. In addition to any other rights available to the Investor, if the Company fails to cause the Transfer Agent to transmit to the Investor the Purchase Notice Shares in accordance with the provisions of Section 2 above pursuant to a Purchase Notice on or before one Trading Days the case of a Single Day Purchase or five Trading Days in the case of a </w:t>
      </w:r>
      <w:r>
        <w:rPr>
          <w:rFonts w:ascii="Times New Roman;Times;Serif" w:hAnsi="Times New Roman;Times;Serif"/>
          <w:b/>
          <w:i w:val="false"/>
          <w:caps w:val="false"/>
          <w:smallCaps w:val="false"/>
          <w:sz w:val="20"/>
        </w:rPr>
        <w:t>VWAP Purchase</w:t>
      </w:r>
      <w:r>
        <w:rPr>
          <w:rFonts w:ascii="Times New Roman;Times;Serif" w:hAnsi="Times New Roman;Times;Serif"/>
          <w:b w:val="false"/>
          <w:i w:val="false"/>
          <w:caps w:val="false"/>
          <w:smallCaps w:val="false"/>
          <w:sz w:val="20"/>
        </w:rPr>
        <w:t>, as applicable, and if after such date the Investor is required by its broker to purchase (in an open market transaction or otherwise) or the Investor’s brokerage firm otherwise purchases, Ordinary Shares to deliver in satisfaction of a sale by the Investor of the Purchase Notice Shares which the Investor anticipated receiving upon such purchase in accordance with the provisions of Section 2 above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(A) pay in cash to the Investor the amount, if any, by which (x) the Investor’s total purchase price (including reasonable and documented brokerage commissions, if any) for the Ordinary Shares so purchased in the Buy-In exceeds (y) the amount obtained by multiplying (1) the number of Purchase Notice shares that the Company was required to deliver to the Investor in connection such purchase times (2) the price at which the sell order giving rise to such purchase obligation was executed, and (B) at the option of the Investor, either treat the purchase as rescinded under this Agreement (which would result in no reduction in the Commitment Amount as a result of such attempted purchase) or deliver to the Investor the number of Purchase Notice shares that would have been issued had the Company timely complied with its delivery obligations hereunder. For example, if the Investor purchases Ordinary Shares having a total purchase price of $11,000 to cover a Buy-In with respect to an attempted purchase with an aggregate sale price giving rise to such purchase obligation of $10,000, under clause (A) of the immediately preceding sentence the Company shall be required to pay the Investor $1,000. The Investor shall provide the Company written notice indicating the amounts payable to the Investor in respect of the Buy-In and, upon request of the Company, evidence of the amount of such loss. Nothing herein shall limit the Investor’s right to pursue any other remedies available to it hereunder, at law or in equity including, without limitation, a decree of specific performance and/or injunctive relief with respect to the Company’s failure to timely deliver Purchase Notice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AGENT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Commencement Date, the Company shall issue to the Transfer Agent, or any subsequent transfer agent, (i) a form of instruction letter in the form attached hereto as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Transfer Agent Instruction Letter</w:t>
      </w:r>
      <w:r>
        <w:rPr>
          <w:rFonts w:ascii="Times New Roman;Times;Serif" w:hAnsi="Times New Roman;Times;Serif"/>
          <w:b w:val="false"/>
          <w:i w:val="false"/>
          <w:caps w:val="false"/>
          <w:smallCaps w:val="false"/>
          <w:sz w:val="20"/>
        </w:rPr>
        <w:t>”) and (ii) the notice of effectiveness of the Registration Statement in the form attached as an exhibit to the Registration Rights Agreement, in each case to advise the Transfer Agent of the Commencement. All Purchase Shares and Commitment Shares to be issued from and after the Commencement to or for the benefit of the Investor pursuant to this Agreement shall be issued only as DWAC Shares. The Company represents and warrants to the Investor that, while this Agreement is in effect, no instruction other than instruction letters in the form of the Transfer Agent Instruction Letter referred to in this Section 6 will be given by the Company to the Transfer Agent with respect to the Purchase Shares or the Commitment Shares from and after Commencement, and the Purchase Shares and the Commitment Shares covered by the Registration Statement shall otherwise be freely transferable on the books and records of the Company. If the Investor effects a sale, assignment or transfer of the Purchase Shares or the Commitment Shares, the Company shall permit the transfer and shall promptly instruct the Transfer Agent (and any subsequent transfer agent) to issue DWAC Shares in such name and in such denominations as specified by the Investor to effect such sale, transfer or assignment. The Company acknowledges that a breach by it of its obligations hereunder will cause irreparable harm to the Investor. Accordingly, the Company acknowledges that the remedy at law for a breach of its obligations under this Section 6 will be inadequate and agrees, in the event of a breach or threatened breach by the Company of the provisions of this Section 6, that the Investor shall be entitled, in addition to all other available remedies, to seek an order and/or injunction restraining any breach and requiring immediate issuance and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b/>
                <w:sz w:val="20"/>
              </w:rPr>
              <w:t>7</w:t>
            </w:r>
            <w:r>
              <w:rPr/>
              <w:t>.</w:t>
            </w:r>
          </w:p>
        </w:tc>
        <w:tc>
          <w:tcPr>
            <w:tcW w:w="9995" w:type="dxa"/>
            <w:tcBorders/>
            <w:vAlign w:val="center"/>
          </w:tcPr>
          <w:p>
            <w:pPr>
              <w:pStyle w:val="TableContents"/>
              <w:bidi w:val="0"/>
              <w:spacing w:before="0" w:after="283"/>
              <w:jc w:val="both"/>
              <w:rPr>
                <w:b/>
              </w:rPr>
            </w:pPr>
            <w:r>
              <w:rPr>
                <w:b/>
              </w:rPr>
              <w:t>CONDITIONS TO THE COMPANY’S RIGHT TO COMMENCE SALES OF SHARES OF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Company hereunder to commence sales of the Purchase Shares as of the Commencement Date is subject to the satisfaction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shall have executed each of the Transaction Documents and delivered the same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Statement covering the issuance and sale by the Company of the Purchase Shares and Commitment Shares required to be filed by the Company with the SEC pursuant to Section 2(a) of the Registration Rights Agreement shall have been declared effective under the Securities Act by the SEC, and no stop order with respect to the Registration Statement shall be pending or threatened by the SEC;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Investor shall be true and correct in all material respects as of the Agreement Date and as of the Commencement Date as though made at that time, except to the extent such representations and warranties are as of another date, in which case, such representations and warranties shall be true and correct in all material respects as of such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b/>
                <w:sz w:val="20"/>
              </w:rPr>
            </w:pPr>
            <w:r>
              <w:rPr>
                <w:b/>
                <w:sz w:val="20"/>
              </w:rPr>
              <w:t>8.</w:t>
            </w:r>
          </w:p>
        </w:tc>
        <w:tc>
          <w:tcPr>
            <w:tcW w:w="10005" w:type="dxa"/>
            <w:tcBorders/>
            <w:vAlign w:val="center"/>
          </w:tcPr>
          <w:p>
            <w:pPr>
              <w:pStyle w:val="TableContents"/>
              <w:bidi w:val="0"/>
              <w:spacing w:before="0" w:after="283"/>
              <w:jc w:val="both"/>
              <w:rPr>
                <w:b/>
              </w:rPr>
            </w:pPr>
            <w:r>
              <w:rPr>
                <w:b/>
              </w:rPr>
              <w:t>CONDITIONS TO THE INVESTOR’S OBLIGATION TO PURCHASE SHARES OF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Investor to buy Purchase Shares under this Agreement is subject to the satisfaction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each of the Transaction Documents and delivered the same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Commitment Shares shall have been issued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Ordinary Shares shall be quoted on the Principal Market, subject only to customary conditions, trading in the Ordinary Shares shall not have been within the last 365 days suspended by the SEC or the Principal Market, and all Ordinary Shares representing Securities to be issued by the Company to the Investor pursuant to this Agreement shall be eligible for quotation on the Principal Market in accordance with the applicable Rules and Regulations of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Investor shall have received the opinions and negative assurances of the Company’s legal counsel, dated as of the Commencement Date, substantially in the forms heretofore agreed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the Agreement Date and as of the Commencement Date as though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by the Transaction Documents to be performed, satisfied or complied with by the Company at or prior to the Commencement Date. The Investor shall have received a certificate, executed by the Chief Executive Officer, President or Chief Financial Officer of the Company, dated as of the Commencement Date, to the foregoing effect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Board of Directors shall have adopted resolutions approving the transactions contemplated hereby, which resolutions shall be in full force and effect without any amendment or supplement thereto as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of the Commencement Date, the Company shall have reserved out of its authorized and unissued Ordinary Shares a sufficient number of shares of Ordinary Shares solely for the purposes of effecting purchases of Purchase Shares hereunder and the issuance of Commitment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Investor a certificate evidencing the good standing of the Company in the Cayman Islands issued by the Registrar of Companies of the Cayman Islands as of a date within 10 Trading Days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delivered to the Investor a certified copy of the Memorandum and Articles of Association as certified by the Registrar of Companies of the Cayman Islands within 2 Business Days of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Company shall have delivered to the Investor an officer’s certificate executed by the Chief Financial Officer of the Company, dated as of the Commencement Date,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Registration Statement covering the issuance and sale of the Purchase Shares and the Commitment Shares shall have been declared effective under the Securities Act by the SEC, and no stop order with respect to the Registration Statement shall be pending or threatened by the SEC at the time of the delivery of any Single Day Purchase Notice or VWAP Purchase Notice. The Company shall have prepared and filed with the SEC, not later than one (1) Trading Day after the effective date of the Registration Statement, a final and complete prospectus (the preliminary form of which shall be included in the Registration Statement) and shall have delivered to the Investor a true and complete copy thereof. Such prospectus shall be current and available for the resale by the Investor of all of the Securities covered thereby. The Current Report shall have been filed with the SEC as required pursuant to Section 5(a). All reports, schedules, registrations, forms, statements, information and other documents required to have been filed by the Company with the SEC at or prior to the Commencement Date pursuant to the reporting requirements of the Exchange Act shall have been filed with the SEC within the applicable time periods prescribed for such filings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Suspension Event has occurred, or any event which, after notice and/or lapse of time, would become a Suspension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statute, regulation, order, decree, writ, ruling or injunction shall have been enacted, entered, promulgated, threatened or endorsed by any federal, state or local court or governmental authority of competent jurisdiction which prohibits the consummation of or which would materially modify or delay any of the transactions contemplated by the Transaction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Action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other than any Action or Proceeding disclosed in the SEC Documents or on the Schedules as of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stockholders, members, officers, directors and employees and any of the foregoing Person’s agents or other representatives (including, without limitation, those retained in connection with the transactions contemplated by this Agreement) (collectively,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reasonable expenses in connection therewith (irrespective of whether any such Indemnitee is a party to the action for which indemnification hereunder is sought), and including reasonable and documented out-of-pocket attorneys’ fees and disbursements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xml:space="preserve">”), actually incurred by any Indemnitee as a result of, or arising out of, or relating to (a) any misrepresentation or breach of any representation or warranty made by the Company in the Transaction Documents or any other certificate, instrument or document executed by the Company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in the case of this clause (c), with respect to Indemnified Liabilities which directly and primarily result from the fraud, gross negligence, bad faith or willful misconduct of an Indemnitee. The indemnity in this Section 9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30 days from the date the Investor makes written request for it.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Investor shall promptly reimburse the Company for any portion of such payment that a court of competent jurisdiction determines by final and non-appealable judgment that any such Indemnitee was not entitled to receive hereunder. A certificate containing reasonable detail as to the amount of such indemnification submitted to the Company by the Investor shall be conclusive evidence, absent manifest error, of the amount due from the Company to the Investor.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and documented out-of-pocket fees and expenses of no more than one such separate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SUSPENSION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Suspension Event</w:t>
      </w:r>
      <w:r>
        <w:rPr>
          <w:rFonts w:ascii="Times New Roman;Times;Serif" w:hAnsi="Times New Roman;Times;Serif"/>
          <w:b w:val="false"/>
          <w:i w:val="false"/>
          <w:caps w:val="false"/>
          <w:smallCaps w:val="false"/>
          <w:sz w:val="20"/>
        </w:rPr>
        <w:t>” shall be deemed to have occurred at any time as any of the following events occurs and continues, taking into account any applicable grace or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effectiveness of a Registration Statement registering the primary issuance and sale of the Securities lapses for any reason (including, without limitation, the issuance of a stop order or similar order) or such Registration Statement (or the Prospectus forming a part thereof) is unavailable to the Investor for resale of any or all of the Securities or the Commitment Shares to be issued to the Investor under the Transaction Documents, and such lapse or unavailability continues for a period of 10 consecutive Trading Days or for more than an aggregate of 30 Trading Days in any 365-day period, but excluding a lapse or unavailability where (i) the Company withdraws a Registration Statement after the Investor has confirmed in writing that all of the Securities covered thereby have been resold or (ii) the Company supersedes one Registration Statement with another Registration Statement, including (without limitation) by withdrawing a prior Registration Statement when it is effectively replaced with a new Registration Statement covering Securities (provided in the case of this clause (ii) that all of the Securities covered by the superseded (or withdrawn) Registration Statement that have not theretofore been resold are included in the superseding (or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suspension of the Ordinary Shares from trading on the Principal Market for a period of one Trading Day (other than in connection with a general suspension of trading of all securities on the Principal Market),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Company may not direct the Investor to purchase any shares of Ordinary Shares during any such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for any reason by the Transfer Agent to issue Purchase Shares to the Investor within one Trading Day after the applicable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breaches any representation, warranty, covenant or other term or condition under any Transaction Document if such breach would reasonably be expected to have a Material Adverse Effect and except, in the case of a breach of a covenant which is reasonably curable, only if such breach continues for a period of at least five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for so long as such order, decree or similar action remains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at any time the Company is not eligible to transfer its Ordinary Shares electronically as DWAC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rights and remedies under applicable law and this Agreement, so long as a Suspension Event has occurred and is continuing, or if any event which, after notice and/or lapse of time, would become a Suspension Event has occurred and is continuing, the Company shall not, and shall have the right to, deliver to the Investor any Purchase Notice, and the Investor shall not be obligated to purchase any securities from the Company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only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pursuant to or within the meaning of any Bankruptcy Law, the Company commences a voluntary case, a Custodian is appointed for the Company or for all or substantially all of its property, or the Company makes a general assignment for the benefit of its creditors (any of which would be a Suspension Event as described in Sections 10(f), 10(g) and 10(h) hereof), this Agreement shall automatically terminate without any liability or payment to the Company (except as set forth below) without further action or notice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(i) the Company fails to file the Registration Statement with the SEC within the period specified in this Agreement in accordance with the terms of the Registration Rights Agreement or (ii) the Commencement shall not have occurred on or before the one year anniversary of the Agreement Date, due to the failure to satisfy the conditions set forth in Sections 7 and 8 above with respect to the Commencement, then, in the case of clause (i) above, this Agreement may be terminated by the Investor at any time prior to the filing of the Registration Statement and, in the case of clause (ii) above, this Agreement may be terminated by either party at the close of business on the one year anniversary of the Agreement Date or thereafter, in each case without liability of such party to the other party (except as set forth below); provided, however, that the right to terminate this Agreement under this Section 11(b) shall not be available to any party if such party is then in breach of any covenant or agreement contained in this Agreement or any representation or warranty of such party contained in this Agreement fails to be true and correct such that the conditions set forth in Section 7(c) or Section 8(e), as applicable, could not then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after the Commencement Date, the Company shall have the option to terminate this Agreement for any reason or for no reason by delivering notice (a “</w:t>
      </w:r>
      <w:r>
        <w:rPr>
          <w:rFonts w:ascii="Times New Roman;Times;Serif" w:hAnsi="Times New Roman;Times;Serif"/>
          <w:b/>
          <w:i w:val="false"/>
          <w:caps w:val="false"/>
          <w:smallCaps w:val="false"/>
          <w:sz w:val="20"/>
        </w:rPr>
        <w:t>Company Termination Notice</w:t>
      </w:r>
      <w:r>
        <w:rPr>
          <w:rFonts w:ascii="Times New Roman;Times;Serif" w:hAnsi="Times New Roman;Times;Serif"/>
          <w:b w:val="false"/>
          <w:i w:val="false"/>
          <w:caps w:val="false"/>
          <w:smallCaps w:val="false"/>
          <w:sz w:val="20"/>
        </w:rPr>
        <w:t>”) to the Investor electing to terminate this Agreement without any liability whatsoever of any party to any other party under this Agreement (except as set forth below). The Company Termination Notice shall not be effective until one Trading Day after it has been received by the Investor, and is subject to the Company having satisfied all of its existing Purchase Notice Shares and Commitment Share delivery obligations, and any other obligations, prior to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shall automatically terminate on the date that the Company sells and the Investor purchases the lesser of (i) the full Commitment Amount or (ii) an amount of shares of Ordinary Shares constituting the Exchange Cap, as provided herein, without any action or notice on the part of any party and without any liability whatsoever of any party to any other party under this Agreement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for any reason or for no reason, the full Commitment Amount has not been purchased in accordance with Section 2 of this Agreement by the Maturity Date, this Agreement shall automatically terminate on the Maturity Date, without any action or notice on the part of any party and without any liability whatsoever of any party to any other party under this Agreement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Sections 11(a) (in respect of a Suspension Event under Sections 10(f), 10(g) and 10(h)), 11(d) and 11(e), any termination of this Agreement pursuant to this Section 11 shall be effected by written notice from the Company to the Investor, or the Investor to the Company, as the case may be, setting forth the basis for the termination hereof. The representations and warranties and covenants of the Company and the Investor contained in Sections 3, 4, 5, and 6 hereof, the indemnification provisions set forth in Section 9 hereof and the agreements and covenants set forth in Sections 10, 11 and 12 shall survive the execution and delivery of this Agreement and any termination of this Agreement. No termination of this Agreement shall (i) affect the Company’s or the Investor’s rights or obligations under (A) this Agreement with respect to pending Single Day Purchases or VWAP Purchases and the Company and the Investor shall complete their respective obligations with respect to any pending Single Day Purchases and VWAP Purchases under this Agreement and (B) the Registration Rights Agreement, which shall survive any such termination, or (ii) be deemed to release the Company or the Investor from any liability for intentional misrepresentation or willful breach of any of the Transaction Documents. </w:t>
      </w:r>
      <w:r>
        <w:rPr>
          <w:rFonts w:ascii="Times New Roman;Times;Serif" w:hAnsi="Times New Roman;Times;Serif"/>
          <w:b w:val="false"/>
          <w:i w:val="false"/>
          <w:caps w:val="false"/>
          <w:smallCaps w:val="false"/>
          <w:sz w:val="20"/>
          <w:u w:val="single"/>
        </w:rPr>
        <w:t xml:space="preserve">The upper limit of compensation under </w:t>
      </w:r>
      <w:r>
        <w:rPr>
          <w:rFonts w:ascii="Times New Roman;Times;Serif" w:hAnsi="Times New Roman;Times;Serif"/>
          <w:b w:val="false"/>
          <w:i w:val="false"/>
          <w:caps w:val="false"/>
          <w:smallCaps w:val="false"/>
          <w:sz w:val="20"/>
        </w:rPr>
        <w:t>Section</w:t>
      </w:r>
      <w:r>
        <w:rPr>
          <w:rFonts w:ascii="Times New Roman;Times;Serif" w:hAnsi="Times New Roman;Times;Serif"/>
          <w:b w:val="false"/>
          <w:i w:val="false"/>
          <w:caps w:val="false"/>
          <w:smallCaps w:val="false"/>
          <w:sz w:val="20"/>
          <w:u w:val="single"/>
        </w:rPr>
        <w:t> 9 shall not exceed 10% of the amount paid by the investor for the 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Governing Law; Exclusive Jurisdiction; Waiver of Jury Trial</w:t>
      </w:r>
      <w:r>
        <w:rPr>
          <w:rFonts w:ascii="Times New Roman;Times;Serif" w:hAnsi="Times New Roman;Times;Serif"/>
          <w:b w:val="false"/>
          <w:i w:val="false"/>
          <w:caps w:val="false"/>
          <w:smallCaps w:val="false"/>
          <w:sz w:val="20"/>
        </w:rPr>
        <w:t xml:space="preserve">. This Agreement, and all claims or cause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and enforced in accordance with the internal laws of the State of California without regard to conflict of law principles that would result in the application of any law other than the law of the State of California . The parties (a) hereby irrevocably and unconditionally submit to the exclusive jurisdiction of the state and federal courts located in Los Angeles, California for the purpose of any Action or Proceeding arising out of or based upon this Agreement, (b) agree not to commence any Action or Proceeding arising out of or based upon this Agreement except in such courts, and (c) hereby waive, and agree not to assert, by way of motion, as a defense, or otherwise, in any such Action or Proceeding, any claim that it is not subject personally to the jurisdiction of the above-named courts, that its property is exempt or immune from attachment or execution, that the Action or proceeding is brought in an inconvenient forum, that the venue of the Action or Proceeding is improper or that this Agreement or the subject matter hereof may not be enforced in or by such court. </w:t>
      </w:r>
      <w:r>
        <w:rPr>
          <w:rFonts w:ascii="Times New Roman;Times;Serif" w:hAnsi="Times New Roman;Times;Serif"/>
          <w:b/>
          <w:i w:val="false"/>
          <w:caps w:val="false"/>
          <w:smallCaps w:val="false"/>
          <w:sz w:val="20"/>
        </w:rPr>
        <w:t>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or other communications required or permitted to be given under the terms of this Agreement must be in writing and will be deemed to have been delivered and received: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WEST PARTNERS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23371 Mullholland Drive, Suite 228</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address and/or to the attention of such other Person as the recipient party has specified by written notice given to each other party three Trading Days prior to the effectiveness of such change. Written confirmation of receipt (A) given by the recipient of such notice, consent or other communication, (B) mechanically or electronically generated by the sender’s email account containing the time, date, and recipient email address, as applicable or (C) provided by a nationally recognized overnight delivery service, shall be rebuttable evidence of personal service,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permitted assigns. The Company shall not assign this Agreement or any rights or obligations hereunder without the prior written consent of the Investor, including by merger or consolidation. The Investor may not assign its rights or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except as set forth in Section 9 with respect to those persons entitled to indemnity thereunder,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SEC filing or any other public disclosure by or on behalf of the Company relating to the Investor, its purchases hereunder or any aspect of the Securities, the Transaction Documents or the transactions contemplated thereby (other than any press release, SEC filing or other public disclosure that contains disclosures substantially similar to disclosures previously reviewed by the Investor or its counsel), not less than 24 hours prior to the issuance, filing or public disclosure thereof. The Investor must be provided with a final version of any portion of such press release, SEC filing or other public disclosure relating to the Investor, its purchases hereunder or any aspect of the Securities, the Transaction Documents or the transactions contemplated thereby at least 24 hours prior to any release, issuance, filing or use by the Company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Financial Advisor, Placement Agent, Broker or Finder</w:t>
      </w:r>
      <w:r>
        <w:rPr>
          <w:rFonts w:ascii="Times New Roman;Times;Serif" w:hAnsi="Times New Roman;Times;Serif"/>
          <w:b w:val="false"/>
          <w:i w:val="false"/>
          <w:caps w:val="false"/>
          <w:smallCaps w:val="false"/>
          <w:sz w:val="20"/>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engaged by the Company relating to or arising out of the transactions contemplated hereby. The Company shall pay, and hold the Investor harmless against, any liability, loss or expense (including, without limitation, reasonable attorneys’ fees and out of pocket expenses) arising in connection with any such claim made by a third party for any such fees or commissions of any financial advisor, placement agent, broker or finder engaged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 In addition, each and every reference to share prices and shares of Ordinary Shares in this Agreement shall be subject to adjustment as provided in this Agreement for reverse and forward stock splits, stock dividends, stock combinations and other similar transactions of the Ordinary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Investor’s remedies provided in this Agreement, including, without limitation, the Investor’s remedies provided in Section 9,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Enforcement Costs</w:t>
      </w:r>
      <w:r>
        <w:rPr>
          <w:rFonts w:ascii="Times New Roman;Times;Serif" w:hAnsi="Times New Roman;Times;Serif"/>
          <w:b w:val="false"/>
          <w:i w:val="false"/>
          <w:caps w:val="false"/>
          <w:smallCaps w:val="false"/>
          <w:sz w:val="20"/>
        </w:rPr>
        <w:t>. In the event that (i) any Action to enforce this Agreement is commenced or is enforced by the Investor through any legal proceeding; (ii) an attorney is retained to represent the Investor in any bankruptcy, reorganization, receivership or other proceedings affecting creditors’ rights and involving a claim under this Agreement; or (iii) subject to Section 9 hereof,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Amendment and Waiver; Failure or Indulgence Not Waiver</w:t>
      </w:r>
      <w:r>
        <w:rPr>
          <w:rFonts w:ascii="Times New Roman;Times;Serif" w:hAnsi="Times New Roman;Times;Serif"/>
          <w:b w:val="false"/>
          <w:i w:val="false"/>
          <w:caps w:val="false"/>
          <w:smallCaps w:val="false"/>
          <w:sz w:val="20"/>
        </w:rPr>
        <w:t>. No provision of this Agreement may be amended other than by a written instrument signed by both parties hereto and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Signature Page Follows </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Investor and the Company have caused this Agreement to be duly executed as of the Agreement Date.</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75"/>
        <w:gridCol w:w="1274"/>
        <w:gridCol w:w="3650"/>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COMPANY:</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Lina Jiang</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Chairwoman of the Board and Chief Executive Officer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WEST PARTNERS LLC</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Dmitriy Slobodskiy Jr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Officer’s Certificate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CEO’s Certificate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Form of Instruction Letter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Form of Purchase Notice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Exhbit E –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Officer’s Certificate (“Certificate”) is being delivered pursuant to Section 8(e) of that certain Securities Purchase Agreement dated as of [___________, 2026, (“Purchase Agreement”), by and between BAOSHENG MEDIA GROUP HOLDINGS LIMITED, a Cayman Islands exempted company (the “Company”), and HIGHWEST PARTNERS LLC (the “Investor”). Capitalized terms used herein and not otherwise defined shall have the respective meanings ascribed to them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 ______________ of the Company, hereby certifies, on behalf of the Company and not in his individual capacity,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am the _____________ of the Company and make the statements contained in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of the Company in the Purchase Agreement, as qualified by the SEC Documents, are true and correct in all material respects (except to the extent that any of such representations and warranties is already qualified as to materiality in Section 4 of the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 in which case such representations and warranties are true and correct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performed, satisfied and complied in all material respects with the covenants, agreements and conditions required by the Transaction Documents to be performed, satisfied or complied with by the Company at or prior to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has not taken any steps, and does not currently expect to take any steps, to seek protection pursuant to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hereunder signed my name on this ___ day of ___________.</w:t>
      </w:r>
    </w:p>
    <w:p>
      <w:pPr>
        <w:pStyle w:val="TextBody"/>
        <w:bidi w:val="0"/>
        <w:spacing w:before="0" w:after="0"/>
        <w:ind w:left="0" w:right="0" w:hanging="0"/>
        <w:jc w:val="left"/>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[________________] of BAOSHENG MEDIA GROUP HOLDINGS LIMITED a Cayman Islands exempted company, hereby certifies that ___________ is the duly elected, appointed, qualified and acting ________ of BAOSHENG MEDIA GROUP HOLDINGS LIMITED and that the signature appearing above is his genuine signature.</w:t>
      </w:r>
    </w:p>
    <w:p>
      <w:pPr>
        <w:pStyle w:val="TextBody"/>
        <w:bidi w:val="0"/>
        <w:spacing w:before="0" w:after="0"/>
        <w:ind w:left="0" w:right="0" w:hanging="0"/>
        <w:jc w:val="left"/>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Officer’s Certificate (“Certificate”) is being delivered pursuant to Section 8 of that certain Securities Purchase Agreement dated as of July __, 2026 (“Purchase Agreement”), by and between BAOSHENG MEDIA GROUP HOLDINGS LIMITED a Cayman Islands exempted company (the “Company”), and HIGH WEST PARTNERS LLC (the “Investor”), pursuant to which the Company may sell to the Investor up to Thirty Million Dollars ($30,000,000) of the Company’s Ordinary Shares, par value $0.0096 per share (the “Ordinary Shares”). Capitalized terms used herein and not otherwise defined shall have the respective meanings ascribed to them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____________, Chief Executive Officer of the Company, hereby certifies, on behalf of the Company and not in his individual capacity,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am the Chief Executive Officer of the Company and make the statements contained in this Chief Executive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are true, correct and complete copies of the Company’s Bylaws and Articles of Incorporation (“Charter”), in each case, as amended through the date hereof, and no action has been taken by the Company, its directors, officers or stockholders, in contemplation of the filing of any further amendment relating to or affecting the Bylaws or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are true, correct and complete copies of the resolutions duly adopted by the Board of Directors of the Company (the “Board of Directors”) [at a meeting held on _____________, at which a quorum was present and acting throughout][by unanimous written consent]. Such resolutions have not been amended, modified or rescinded and remain in full force and effect and such resolutions are the only resolutions adopted by the Board of Directors, or any committee thereof, or the stockholders of the Company relating to or affecting (i) the entering into and performance of the Purchase Agreement, the Registration Rights Agreement and the other Transaction Documents, or the issuance, offering and sale of the Purchase Shares and the Commitment Shares, and (ii) and the performance of the Company of its obligations under each of the Transaction Documents as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As of the date hereof, the authorized, issued and reserved capital stock of the Company is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I have hereunder signed my name on this ___ day of ____________, 202__.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[________________] of BAOSHENG MEDIA GROUP HOLDINGS LIMITED a Cayman Islands exempted company, hereby certifies that ___________ is the duly elected, appointed, qualified and acting ________ of BAOSHENG MEDIA GROUP HOLDINGS LIMITED and that the signature appearing above is his genuine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725"/>
        <w:gridCol w:w="75"/>
      </w:tblGrid>
      <w:tr>
        <w:trPr/>
        <w:tc>
          <w:tcPr>
            <w:tcW w:w="7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INSTRUCTION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LETTERHEAD]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 202[_]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Issuance of Ordinary Shares to High West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instructed, as Transfer Agent and Registrar of the Ordinary Shares, par value $0.0096 per share (the “Ordinary Shares”) of BAOSHENG MEDIA GROUP HOLDINGS LIMITED (the “Company”), to issue to the purchaser identified in Appendix A hereto (the “Purchaser”) the number of shares of Ordinary Shares set forth beside the name of the Purchaser (the “Shares”) in connection with the Company’s exercise of certain rights pursuant to the terms of that certain Securities Purchase Agreement, dated July [__], 2026, by and between the Company and the Purchaser, to be issued out of the applicable Company’s reserve(s) set forth beside the name of the Purchaser, and to cause such shares of Ordinary Shares to be electronically credited through the “DWAC” system of the Depository Trust Company in accordance with the information set forth in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resale of the Shares is registered with the Securities and Exchange Commission on the Company’s effective Registration Statement(s) as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The Shares may be issued free of any restrictions upon the transfer thereof and without any restrictive legends on the certificates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very much for your help.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call me at ______________ if you have any questions or need anything further.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65"/>
        <w:gridCol w:w="575"/>
        <w:gridCol w:w="75"/>
      </w:tblGrid>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10" w:type="dxa"/>
        <w:tblLayout w:type="fixed"/>
        <w:tblCellMar>
          <w:top w:w="28" w:type="dxa"/>
          <w:left w:w="108" w:type="dxa"/>
          <w:bottom w:w="28" w:type="dxa"/>
          <w:right w:w="108" w:type="dxa"/>
        </w:tblCellMar>
      </w:tblPr>
      <w:tblGrid>
        <w:gridCol w:w="2525"/>
        <w:gridCol w:w="590"/>
        <w:gridCol w:w="890"/>
        <w:gridCol w:w="2180"/>
        <w:gridCol w:w="1130"/>
        <w:gridCol w:w="875"/>
      </w:tblGrid>
      <w:tr>
        <w:trPr/>
        <w:tc>
          <w:tcPr>
            <w:tcW w:w="25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w:t>
              <w:br/>
              <w:t>Purchaser</w:t>
            </w:r>
          </w:p>
        </w:tc>
        <w:tc>
          <w:tcPr>
            <w:tcW w:w="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Company </w:t>
              <w:br/>
              <w:t>Reserve</w:t>
            </w:r>
          </w:p>
        </w:tc>
        <w:tc>
          <w:tcPr>
            <w:tcW w:w="21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Statement</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DTC</w:t>
              <w:br/>
              <w:t>Participant #</w:t>
            </w:r>
          </w:p>
        </w:tc>
        <w:tc>
          <w:tcPr>
            <w:tcW w:w="8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DTC</w:t>
              <w:br/>
              <w:t>Account #</w:t>
            </w:r>
          </w:p>
        </w:tc>
      </w:tr>
      <w:tr>
        <w:trPr/>
        <w:tc>
          <w:tcPr>
            <w:tcW w:w="25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HIGH WEST PARTNERS LLC</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F-3 (File No. 333-[</w:t>
            </w:r>
            <w:r>
              <w:rPr>
                <w:rFonts w:ascii="Symbol" w:hAnsi="Symbol"/>
                <w:sz w:val="20"/>
              </w:rPr>
              <w:t>·</w:t>
            </w:r>
            <w:r>
              <w:rPr>
                <w:rFonts w:ascii="Times New Roman;Times;Serif" w:hAnsi="Times New Roman;Times;Serif"/>
                <w:sz w:val="20"/>
              </w:rPr>
              <w: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HIGH WEST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Securities Purchase Agreement, dated as of July __, 2026, (the “Agreement”), entered into by and between BAOSHENG MEDIA GROUP HOLDINGS LIMITED, LTD., and High West Partners LLC. Capitalized terms defined in the Agreement shall, unless otherwise defined herein, have the same meaning when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initiate a ________________ Purchase under the Agreement,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Give you notice that we require you to purchase __________ Purchase Shares at the __________ Purchase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Certify that, as of the date hereof,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of the Agreement are satisfied.</w:t>
      </w:r>
    </w:p>
    <w:p>
      <w:pPr>
        <w:pStyle w:val="TextBody"/>
        <w:bidi w:val="0"/>
        <w:spacing w:before="0" w:after="0"/>
        <w:ind w:left="0" w:right="0" w:hanging="0"/>
        <w:jc w:val="left"/>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75"/>
        <w:gridCol w:w="1285"/>
        <w:gridCol w:w="32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Disclosure Schedule is made and given pursuant to Section 4 of the Securities Purchase Agreement dated as of July 10, 2026 (the “Agreement”) by and between </w:t>
      </w:r>
      <w:r>
        <w:rPr>
          <w:rFonts w:ascii="Times New Roman;Times;Serif" w:hAnsi="Times New Roman;Times;Serif"/>
          <w:b/>
          <w:i w:val="false"/>
          <w:caps w:val="false"/>
          <w:smallCaps w:val="false"/>
          <w:sz w:val="20"/>
        </w:rPr>
        <w:t>BAOSHENG MEDIA GROUP HOLDINGS LIMITED</w:t>
      </w:r>
      <w:r>
        <w:rPr>
          <w:rFonts w:ascii="Times New Roman;Times;Serif" w:hAnsi="Times New Roman;Times;Serif"/>
          <w:b w:val="false"/>
          <w:i w:val="false"/>
          <w:caps w:val="false"/>
          <w:smallCaps w:val="false"/>
          <w:sz w:val="20"/>
        </w:rPr>
        <w:t xml:space="preserve">, a Cayman Islands exempted company (the “Company”) and; </w:t>
      </w:r>
      <w:r>
        <w:rPr>
          <w:rFonts w:ascii="Times New Roman;Times;Serif" w:hAnsi="Times New Roman;Times;Serif"/>
          <w:b/>
          <w:i w:val="false"/>
          <w:caps w:val="false"/>
          <w:smallCaps w:val="false"/>
          <w:sz w:val="20"/>
        </w:rPr>
        <w:t>HIGH WEST PARTNERS LLC</w:t>
      </w:r>
      <w:r>
        <w:rPr>
          <w:rFonts w:ascii="Times New Roman;Times;Serif" w:hAnsi="Times New Roman;Times;Serif"/>
          <w:b w:val="false"/>
          <w:i w:val="false"/>
          <w:caps w:val="false"/>
          <w:smallCaps w:val="false"/>
          <w:sz w:val="20"/>
        </w:rPr>
        <w:t>, a California limited liability company (the “Investor”), and should be considered an integral part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capitalized terms that are used herein but not otherwise defined shall have the meanings attributed to them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numbers in this Disclosure Schedule correspond to the section numbers in Section 4 of the Agreement; provided, however, that any information disclosed herein under any section number shall be deemed disclosed and incorporated into any other sections hereof where it is reasonably apparent on its face that such disclosure is applicable, whether or not a specific cross reference is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disclosure in this Disclosure Schedule relating to any possible breach, conflict, default or violation of any contract or law or otherwise shall be construed as an admission or indication of any liability or that any breach, conflict, default or violation exists or has actually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contained in this Disclosure Schedule are included for convenience only and are not intended to limit the effect of the disclosures contained in this Disclosure Schedule or to expand the scope of the information required to be disclosed in this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China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 and seeking damages of RMB 47,249,848 (approximately US$6.59 million).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 12,245,087, RMB 14,001,912, and RMB 21,002,849, respectively. An initial hearing was held before the Beijing Shijingshan District People’s Court on June 23, 2026, where the parties submitted evidence to the presiding judge. As of current date, the Company is awaiting the next hearing to be fixed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Horgos Baosheng Advertising Company Limited (“Horgos Baosheng”) brought a breach of contract claim against Qingdao Xingyuan Automobile Information Technology Co., Ltd. (“Qingdao Xingyuan”) and sought recovery of RMB3.85 million in aggregate. On December 21, 2020, the reviewing court entered a judgment, ruling in favor of Horgos Baosheng and requiring Qingdao Xingyuan to compensate Horgos Baosheng RMB3.25 million and an extra penalty calculated based on the loan prime rate from August 28, 2019 to the actual date of payment. As of current date, the judgment is under the stage of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Beijing Baosheng Network Technology Co., Ltd. (“Beijing Baosheng”) brought a breach of contract claim against Guangzhou Aiyou Information Technology Co. Ltd. (“Guangzhou Aiyou”) and sought recovery of RMB1,255,000 in aggregate. On August 22, 2020, the Beijing arbitration committee entered a judgment, ruling in favor of Beijing Baosheng and requiring Guangzhou Aiyou to compensate Beijing Baosheng RMB1,255,000, with a penalty of RMB592,360, and an extra daily penalty of 0.05%, calculated from April 21, 2020 to the actual date of payment, and arbitration-related expenses. On November 17, 2020, Beijing Baosheng filed a request with Guangzhou Intermediate People’s Court, seeking to mandatorily enforce the judgment. As of current date, the judgment is under the stage of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Beijing Baosheng brought a breach of contract claim against Beijing Hekai Qianyu Intelligent Technology Co., Ltd. (“Hekai Qianyu”) and Beijing Zhigu Education Technology Co., Ltd. (“Zhigu Education”) and Mr. Hongpeng Yao (the legal representatives of both Hekai Qianyu and Zhigu Education) in the Beijing Dongcheng District People’s Court and sought recovery of RMB756, 000 (approximately $118,681) and related liquidated damages. Beijing Baosheng subsequently withdrew its action against Zhigu Education and agreed to resolve this dispute with the other two defendants through court mediation. On March 25, 2022, the court issued a civil mediation statement confirming that the parties had reached the following agreement: (1) Hekai Qianyu shall pay Beijing Baosheng RMB756,000 (approximately $118,681) by April 24, 2022, and in case of any late payment of the foregoing, an additional daily penalty calculated from April 25, 2022 to the actual date of payment shall be imposed; (2) Mr. Hongpeng Yao assumes jointly and several liability for the payment under item (1); and (3) the litigation-related expenses shall be borne by Hekai Qianyu and Mr. Hongpeng Yao. On April 25, 2022, Beijing Baosheng filed a request with the court, seeking to mandatorily enforce the settlement. As of current date, the settlement is under the stage of enforcement, and Beijing Baosheng has not yet received any payment from the defendants.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Horgos Baosheng brought a breach of contract claim against Beijing Aipu New Media Technology Co., Ltd. (“Aipu”) in the Beijing Haidian District People’s Court and sought recovery of RMB1,783,834.04 (approximately $270,102) and related liquidated damages. On March 14, 2022, Horgos Baosheng applied for reservation of Aipu’s property in an amount of RMB1,783,834.04 (approximately $270,102) and said application was approved by the court on March 17, 2022. On February 10, 2023, Horgos Baosheng applied for extension for reservation of Aipu’ s property in an amount of RMB1,783,834.04 (approximately $270,102), and the court approved the extension of reservation to March 17, 2024. Due to the court’s reason, Horgos Baosheng withdrew the case filed at the Beijing Haidian District People’s Court. On January 24, 2024, Horgos Baosheng brought a breach of contract claim against Aipu in the Beijing Haidian District People’s Court again. The court held the hearings on September 10, 2024 and October 21, 2024. During the hearing, Horgos Baosheng was informed that the property reserved by Horgos Baosheng had been used for Aipu’s employee dispute and there was no property available for reservation. As of current date, Horgos Baosheng has not yet received any payment from the defendants. Horgos Baosheng intends to file for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Beijing Dongcheng District People’s Court accepted a breach of contract case filed by Beijing Baosheng, as the complainant, and Beijing Kaikeba, as the defendant. In this case, Beijing Baosheng sought recovery of RMB2,197,472.35 (approximately $319,732.23) and related liquidated damages from Beijing Kaikeba. On July 11, 2022, the court issued a civil mediation statement confirming that the parties had reached an agreement that, among others, Beijing Kaikeba agreed to pay Beijing Baosheng the service fee for the period from January 1, 2022 to March 31, 2022, in an amount of RMB 2,197,472.35 (approximately $317,974.25) in three installments by the end of 2022. As of current date, Beijing Baosheng has not received any payment from Beijing Kaikeba. Given that Beijing Kaikeba currently has no assets, the court enforcement procedures against Beijing Kaikeba has been terminated in April 2023. In the event that the court or Beijing Baosheng locates any asset of Beijing Kaikeba, Beijing Baosheng will be able to apply for resumption of the enforcement procedures against Beijing Kaikeba.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Beijing Haidian District People’s Court accepted a breach of contract case, filed by Beijing Baosheng as the complainant and Beijing Kaikeba Technology Co., Ltd. (“Beijing Kaikeba”), Huike Education Technology Group Co., Ltd., Hangzhou Kaikeba Technology Co., Ltd. (“HZ Kaikeba”), and Fang Yechang, as the defendants. In this case, Beijing Baosheng sought recovery of RMB34,436,345.13 (approximately $5,010,488.22) and related liquidated damages from Beijing Kaikeba, HZ Kaikeba, and Fang Yechang. The court has a ruling in favor of Beijing Baosheng and requiring Beijing Kaikeba and Fang Yechang to compensate Beijing Baosheng the outstanding service fee of RMB35,781,421.17 (US$5,039,707.77), with liquidated damages of RMB2,620,526.68 (US$369,093.46), and court expenses and reservation expenses. The case is now under enforcement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Beijing Haidian District People’s Court accepted a breach of contract case filed by Beijing Baosheng, as the complainant, and Beijing Kaikeba, HZ Kaikeba, and Fang Yechang, as the defendants. In this case, Beijing Baosheng sought recovery of RMB4,756,957.57 (approximately $692,137.33) and related liquidated damages from defendants. On February 27, 2023, the People’s Court of Hangzhou Yuhang District ruled to accept the bankruptcy liquidation case of HZ Kaikeba and requested the creditors of HZ Kaikeba file their claims by April 21, 2023. Beijing Baosheng has filed its creditor claims involved in this case against HZ Kaikeba following the bankruptcy procedures. The bankruptcy administrator confirmed Beijing Baosheng’s rights as a creditor (including the principal debt amount of RMB35,781,421.17 (US$5,039,707.77), and the amount of liquidate damages RMB2,620,526.68 (US$369,093.46). Beijing Baosheng accepted the bankruptcy administrator’s decision and then withdrew the case filed at the Beijing Haidian District People’s Court. As of current date, Beijing Baosheng is waiting for the administrator’s notice of the subsequent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Beijing Baosheng brought a breach of contract claim against Shanghai Yituo Information Technology Co., Ltd. (“Yituo”) in the Shanghai Jinshan District People’s Court and sought recovery of RMB50,843.31 (approximately $7,383) and related liquidated damages. The court held the hearings on February 14, 2023 and March 27, 2023. The court entered a judgment on April 11, 2023, ruling in favor of Beijing Baosheng. The judgment was served to Beijing Baosheng on April 24, 2023, and became final and binding on the parties as Yituo did not file any appeals against the judgement before May 9, 2023. As of current date, Beijing Baosheng has not yet received any payment from the defendants. Given that Yituo had no assets, the court enforcement procedures against Yituo were terminated on August 30, 2023. In the event that the court or Beijing Baosheng locates any asset of Yituo, Beijing Baosheng will be able to apply for resumption of the enforcement procedures against Yituo.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Beijing Shijingshan District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RMB2,197,472.35 (approximately $319,732.23). As of current date, Baosheng is waiting for the court’s notice on the hearing.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Beijing Chaoyang District People’s Court accepted a breach of contract case filed by Beijing Baosheng, as the complainant and Beijing Zhijin Dapeng Education Technology Co., Ltd. (“Dapeng”), as the defendant. In this case, Beijing Baosheng sought recovery of RMB435,731.02 (approximately $63,271) and related liquidated damages from Dapeng. Later in February 2023, Beijing Baosheng submitted additional evidence to the court. The court hearing was held on September 20, 2023. On January 31, 2024, the court approved Beijing Baosheng’s application for reservation of the bank accounts of Dapeng. The court has a ruling in favor of Beijing Baosheng and requiring Dapeng to compensate Beijing Baosheng the service fee of RMB435,731.02 (US$63,271) and related liquidated damages. As of current date, Beijing Baosheng has not yet received any payment from the defendant.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Beijing Shijingshan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RMB2,715,663.75 (US$382,493.24). On November 16, 2023, the court issued a civil mediation statement confirming that the parties had reached settlement that the defendants will compensate Beijing Baosheng RMB 2,715,663.75 and assume the court expenses. As of current date, Beijing Baosheng has not received any payment from the defendants. Beijing Baosheng has filed a request with the court, seeking to mandatorily enforce the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Beijing Haidian District People’s Court accepted a case filed by Beijing Baina Network Information Technology co., Ltd. (“Baina”) as the plaintiff, with Horgos Baosheng and Beijing Baosheng as the defendants. In this case, Baina sought the refund of the deposit and the account balance totaling RMB6,647,027.8 (approximately US$936,260.4). Baina voluntarily withdrew its claim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was served a complaint regarding a lawsuit brought by three institutional investors (the “Plaintiffs”) against the Company and certain other parties, filed with the United States District Court of the Southern District of New York (the “SDNY”), alleging that the Company violated Section 11 and Section 12 of the Securities Act of 1933, as amended, by including untrue statements of material facts and omitting to state material facts required to make the statements therein not misleading, in its registration statement on Form F-1, as amended (File No. 333-239800), which was declared effective by the SEC on February 5, 2021. On March 17, 2021, two institutional investors, which are also two of the Plaintiffs, purchased 1,960,784 units from the Company pursuant to a securities purchase agreement, with each unit consisting of one ordinary share of the Company and one warrant to purchase one half of one ordinary share of the Company, for an aggregate purchase price of US$10 million. On March 5, 2024, the Plaintiffs filed an amended complaint and served the Company on March 6, 2024. The Company filed a motion to dismiss on May 22, 2024, which was subsequently dismissed by the court without prejudice to refile after the Plaintiffs sought leave to file a third amended complaint on July 16, 2024. The Plaintiffs filed the third amended complaint on November 1, 2024, with the court’s approval. On December 20, 2024, the Company filed a motion to dismiss the third amended complaint. In response to the Plaintiffs’ opposition to the Company’s motion to dismiss, filed on February 7, 2025, the Company submitted its reply brief on March 7, 2025, in further support of its motion to dismiss. As of current date, the SDNY has denied the Company’s motion to dismiss the complaint, and the litigation is proceeding to the next phase of answering the complaint and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Orient Plus International Limited (the “Petitioner”) filed with the Grand Court of the Cayman Islands a winding up petition (“Petition”), seeking an order that the Company be wound up pursuant to Section 92(e) of the Cayman Islands Companies Act (2023 Revision), claiming that the management of the Company have acted unfairly and/or oppressively towards the Petitioner, the other investors and other minority shareholders, and/or the affairs of the Company have been conducted with a lack of probity, and the Petitioner and the other investors have justifiably lost confidence in the management of the Company. By a summons dated July 10, 2024, the Company applied for an order striking out the Petition, which was heard by the court on October 17, 2024. The court dismissed the summons on October 30, 2024. The legal proceedings are currently ongoing. As of current date, the parties are in the midst of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4" w:name="tm2619932d2_ex10-2.htm"/>
      <w:bookmarkStart w:id="5" w:name="kstm2619932d2_ex102"/>
      <w:bookmarkEnd w:id="4"/>
      <w:bookmarkEnd w:id="5"/>
      <w:r>
        <w:rPr/>
        <w:t> </w:t>
      </w:r>
      <w:r>
        <w:br w:type="page"/>
      </w:r>
    </w:p>
    <w:p>
      <w:pPr>
        <w:pStyle w:val="TextBody"/>
        <w:bidi w:val="0"/>
        <w:jc w:val="right"/>
        <w:rPr>
          <w:b/>
        </w:rPr>
      </w:pPr>
      <w:r>
        <w:rPr>
          <w:b/>
        </w:rPr>
        <w:t>Exhibit 10.2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(the “</w:t>
      </w:r>
      <w:r>
        <w:rPr>
          <w:rFonts w:ascii="Times New Roman;Times;Serif" w:hAnsi="Times New Roman;Times;Serif"/>
          <w:b/>
          <w:i w:val="false"/>
          <w:caps w:val="false"/>
          <w:smallCaps w:val="false"/>
          <w:sz w:val="20"/>
        </w:rPr>
        <w:t>Agreement Date</w:t>
      </w:r>
      <w:r>
        <w:rPr>
          <w:rFonts w:ascii="Times New Roman;Times;Serif" w:hAnsi="Times New Roman;Times;Serif"/>
          <w:b w:val="false"/>
          <w:i w:val="false"/>
          <w:caps w:val="false"/>
          <w:smallCaps w:val="false"/>
          <w:sz w:val="20"/>
        </w:rPr>
        <w:t xml:space="preserve">”), is entered into by and between </w:t>
      </w:r>
      <w:r>
        <w:rPr>
          <w:rFonts w:ascii="Times New Roman;Times;Serif" w:hAnsi="Times New Roman;Times;Serif"/>
          <w:b/>
          <w:i w:val="false"/>
          <w:caps w:val="false"/>
          <w:smallCaps w:val="false"/>
          <w:sz w:val="20"/>
        </w:rPr>
        <w:t>BAOSHENG MEDIA GROUP HOLDINGS LIMITED</w:t>
      </w:r>
      <w:r>
        <w:rPr>
          <w:rFonts w:ascii="Times New Roman;Times;Serif" w:hAnsi="Times New Roman;Times;Serif"/>
          <w:b w:val="false"/>
          <w:i w:val="false"/>
          <w:caps w:val="false"/>
          <w:smallCaps w:val="false"/>
          <w:sz w:val="20"/>
        </w:rPr>
        <w:t>,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HIGH WEST PARTNERS LLC,</w:t>
      </w:r>
      <w:r>
        <w:rPr>
          <w:rFonts w:ascii="Times New Roman;Times;Serif" w:hAnsi="Times New Roman;Times;Serif"/>
          <w:b w:val="false"/>
          <w:i w:val="false"/>
          <w:caps w:val="false"/>
          <w:smallCaps w:val="false"/>
          <w:sz w:val="20"/>
        </w:rPr>
        <w:t xml:space="preserve"> a California limited liability company (together with its permitted assigns,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Securities Purchase Agreement by and between the parties hereto, dated as of the Agreement Date (as amended, restated, supplemented or otherwise modified from time to time,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of the Purchase Agreement, (i) the Company has agreed to issue to the Investor, and the Investor has agreed to purchase, up to the lesser of an amount of shares equal to the Exchange Cap (as defined in the Purchase Agreement) or $30,000,000 of the Company’s Ordinary Shares, par value $0.0096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pursuant to the Purchase Agreement (such shares, the “</w:t>
      </w:r>
      <w:r>
        <w:rPr>
          <w:rFonts w:ascii="Times New Roman;Times;Serif" w:hAnsi="Times New Roman;Times;Serif"/>
          <w:b/>
          <w:i w:val="false"/>
          <w:caps w:val="false"/>
          <w:smallCaps w:val="false"/>
          <w:sz w:val="20"/>
        </w:rPr>
        <w:t>Purchase Notice Shares</w:t>
      </w:r>
      <w:r>
        <w:rPr>
          <w:rFonts w:ascii="Times New Roman;Times;Serif" w:hAnsi="Times New Roman;Times;Serif"/>
          <w:b w:val="false"/>
          <w:i w:val="false"/>
          <w:caps w:val="false"/>
          <w:smallCaps w:val="false"/>
          <w:sz w:val="20"/>
        </w:rPr>
        <w:t>”), and (ii) the Company has agreed to issue to the Investor such number of shares of Ordinary Shares as Commitment Shares as consideration for its commitment to purchase shares of Ordinary Shares under the Purchase Agreement at such times and otherwise in accordance with the terms set forth in the Purchase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promises and the mutual covenants contained herein and other good and valuable consideration, the receipt and sufficiency of which are hereby acknowledged, the Company and the Buyer hereby,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and terms used herein and not otherwise defined herein shall have the respective meanings as set forth in the Purchase Agreement.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the Buyer, any transferee or assignee thereof to whom the Buyer assigns its rights under this Agreement in accordance with Section 9 and who agrees to become bound by the provisions of this Agreement, and any transferee or assignee thereof to whom a transferee or assignee assigns its rights under this Agreement in accordance with Section 9 and who agrees to become bound by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or entity including but not limited to any corporation, a limited liability company, an association, a partnership, an organization, a business, an individual, a governmental or political subdivision thereof or a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and the declaration or ordering of effectiveness of such Registration Statement(s)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all of the Commitment Shares, and all of the Purchase Notice Shares, that may, from time to time, be issued or become issuable to the Investor under the Purchase Agreement (without regard to any limitation or restriction on purchases), and any and all shares of capital stock issued or issuable with respect to the Purchase Notice Shares, the Commitment Shares or the Purchase Agreement as a result of any stock split, stock dividend, recapitalization, exchange or similar event or otherwise, without regard to any limitation on purchases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one or more registration statements of the Company covering primary issuance and sale by the Company of the Registrable Securities, including, for the avoidance of doubt, any New Registration Statement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xml:space="preserve">. The Company shall, within 15 calendar days following the Agreement Date, file with the SEC a registration statement on Form F-3 or prospectus supplement to Form F-3 (Registration No. 333-273720)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then-prevailing market prices (and not fixed prices), as mutually determined by both the Company and the Investor in consultation with their respective legal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Company may delay filing or suspend the use of any Registration Statement if the Company determines upon advice of legal counsel, that in order for the registration statement to not contain a material misstatement or omission, an amendment thereto would be needed, or if the Board of Directors, upon advice of legal counsel, reasonably believes that such filing or use would require premature disclosure of information that could materially adversely affect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Investor owns Purchase Notice Shares at the time of any such suspension of use of the registration statement, the Company shall use reasonable best efforts to make such registration statement available for the resale of such securities by the Investor as soon as practicable thereafter. The initial Registration Statement shall register only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such comments. The Investor acknowledges that it will be identified in the initial Registration Statement (and in any New Registration Statement) as an underwriter within the meaning of Section 2(a)(11) of the Securities Act, and the Investor shall furnish all information reasonably requested by the Company for inclusion therein. The Company shall use its commercially reasonable efforts to have the Registration Statement and any amendment declared effective by the SEC at the earliest practicable date. The Company shall use commercially reasonable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shares of Ordinary Shares remain issuable under the Purchase Agreement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The effective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Rule 424 Prospectus</w:t>
      </w:r>
      <w:r>
        <w:rPr>
          <w:rFonts w:ascii="Times New Roman;Times;Serif" w:hAnsi="Times New Roman;Times;Serif"/>
          <w:b w:val="false"/>
          <w:i w:val="false"/>
          <w:caps w:val="false"/>
          <w:smallCaps w:val="false"/>
          <w:sz w:val="20"/>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commercially reasonable efforts to comment upon such prospectus within one Business Day from the date the Investor receives the substantially final pre-filing version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of Ordinary Shares available under the Registration Statement is insufficient to cover all of the Registrable Securities, the Company shall, to the extent necessary and permissible, amend the Registration Statement or file a new Registration Statement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so as to cover all of such Registrable Securities (subject to the limitations set forth in Section 2(a)) as soon as reasonably practicable, but in any event not later than 10 Business Days after the necessity therefor arises, subject to any limits that may be imposed by the SEC pursuant to Rule 415 under the Securities Act. The Company shall use its commercially reasonable efforts to cause such amendment and/or New Registration Statement to become effective as soon as reasonably practicable following the filing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If the staff of the SEC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Section 2(a), the Company is otherwise required by the Staff or the SEC to reduce the number of Registrable Securities included in such initial Registration Statement, then the Company shall reduce the number of Registrable Securities to be included in such initial Registration Statement (after consulting with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Section 2(c)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the Registrable Securities (and any related conditions to the Investor’s obligations) shall be qualified as necessary to comport with any requirement of the SEC or the Staff as addressed in this Section 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Registration Statement and whenever any Registrable Securities are to be registered pursuant to Section 2, including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applicable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permit the Investor to review and comment upon the Registration Statement or any New Registration Statement and all amendments and supplements thereto at least two Business Days prior to filing such Registration Statement or New Registration Statement with the SEC, and not file any such document in a form to which the Investor reasonably objects in writing. The Investor shall use its reasonable best efforts to comment upon the Registration Statement or any New Registration Statement and any amendments or supplements thereto within one Business Day from the date the Investor receives the substantially final version thereof. The Company shall furnish to the Investor, without charge, any correspondence from the SEC or the Staff to the Company or its representatives relating to the Registration Statement or any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the Investor, the Company shall furnish to the Investor, (i) promptly after the same is prepared and filed with the SEC, at least one copy of any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or “delivered to the Investor”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use commercially reasonable efforts to (i) register and qualify the Registrable Securities covered by any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in connection therewith or as a condition thereto to (x) qualify to do business in any jurisdiction where it would not otherwise be required to qualify but for this Section 3(d), (y) subject itself to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written notice of the initiation or threatening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after becoming aware of any event or fact, the result of which makes a material fact included in any Registration Statement, as then in effect, or any prospectus included therein untrue or results in the omission of a material fact required to be stated therein or necessary in order to make the statements then made therein (in the case of any prospectus, in light of the circumstances under which they were made) not misleading, the Company shall notify the Investor in writing of the happening of such event or existence of such facts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no event shall such notice contain any material, non-public information regarding the Company or any of its Subsidiaries), and, subject to Section 3(n), promptly prepare a supplement or amendment to such Registration Statement to correct such untrue statement or omission, and deliver a copy of such supplement or amendment to the Investor. The Company shall also promptly notify the Investor in writing (i) when a prospectus or any prospectus supplement or post-effective amendment has been filed, and when any Registration Statement or any post-effective amendment has become effective (notification of such effectiveness shall be delivered to the Investor by email or facsimile on the same day of such effectiveness or by overnight mail), (ii) of any request by the SEC for amendments or supplements to any Registration Statement or related prospectus or related information, and (iii) of the Company’s reasonable determination that a post-effective amendment to any Registration Statement would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use its commercially reasonable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cause all the Registrable Securities to be listed on the Principal Market if the listing of such Registrable Securities is then permitted under the rules of the Principal Market, or (ii) secure designation and quotation of all the Registrable Securities on the Principal Market. The Company shall pay all fees and expenses in connection with satisfying its obligation under this Section 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color w:val="010101"/>
          <w:sz w:val="20"/>
        </w:rPr>
        <w:t xml:space="preserve">The </w:t>
      </w:r>
      <w:r>
        <w:rPr>
          <w:rFonts w:ascii="Times New Roman;Times;Serif" w:hAnsi="Times New Roman;Times;Serif"/>
          <w:b w:val="false"/>
          <w:i w:val="false"/>
          <w:caps w:val="false"/>
          <w:smallCaps w:val="false"/>
          <w:sz w:val="20"/>
        </w:rPr>
        <w:t>Company shall cooperate with the Investor to facilitate the timely issuance of the Registrable Securities to be offered pursuant to any Registration Statement, it being agreed that such Registrable Securities shall be issued as DWAC Shares and in such denominations or amounts as the Investor may reasonably request and registered in such names as the Investor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at all times provide a transfer agent and registrar with respect to its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color w:val="010101"/>
          <w:sz w:val="20"/>
        </w:rPr>
        <w:t>If reasonably requested in writing by the Investor, the Company shall: (i) as soon as practicable after receipt of written notice from the Investor, incorporate in a prospectus supplement or post-effective amendment such information as the Investor reasonably believes should be included therein relating to the sale and distribution of Registrable Securities, including, without limitation, information with respect to the number of Registrable Securities</w:t>
      </w:r>
      <w:r>
        <w:rPr>
          <w:rFonts w:ascii="Times New Roman;Times;Serif" w:hAnsi="Times New Roman;Times;Serif"/>
          <w:b w:val="false"/>
          <w:i w:val="false"/>
          <w:caps w:val="false"/>
          <w:smallCaps w:val="false"/>
          <w:sz w:val="20"/>
        </w:rPr>
        <w:t xml:space="preserve">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 or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use its commercially reasonable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Within one Business Day after any Registration Statement which includes the Registrable Securities is declared effective by the SEC, the Company shall deliver, and shall direct legal counsel for the Company to deliver, to the Transfer Agent (with copies to the Investor) confirmation that such Registration Statement has been declared effective by the SEC in substantially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Thereafter, if requested by the Investor at any time, the Company shall direct its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take such other reasonable actions necessary to expedite and facilitate disposition by the Investor of Registrable Securities pursuant to any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Notwithstanding anything to the contrary contained herein, prior to the effective date of the Registration Statement, the Company may, upon written notice to the Investor, delay the initial effectiveness of any Registration Statement, or, at any time after the effective date of the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SEC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Investor be suspended from selling Registrable Securities pursuant to any Registration Statement for a period that exceeds 30 consecutive trading days or an aggregate of 90 trading days in any 365-day period.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3(e) with respect to the information giving rise thereto unless such material, non-public information is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OBLIGATIONS OF THE 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notify the Investor in writing of the information the Company reasonably requires from the Investor in connection with any Registration Statement hereunder. The Investor shall promptly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agrees to cooperate with the Company as reasonably requested by the Company in connection with the preparation and filing of any Registration Statement hereunder and any amendments and supplements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 agrees that, upon receipt of any notice from the Company of the happening of any event or existence of facts of the kind described in Section 3(n) or the first sentence of 3(e), the Investor will immediately discontinue disposition of Registrable Securities pursuant to any Registration Statement(s) covering such Registrable Securities until the Investor’s receipt of the copies of a notice regarding the resolution or withdrawal of the stop order or suspension as contemplated by Section 3(n) or the supplemented or amended prospectus as contemplated by the first sentence of Section 3(e). Notwithstanding anything to the contrary, the Company shall direct the Transfer Agent to promptly deliver shares of Ordinary Shares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Section 3(n) or the first sentence of Section 3(e) and for which the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 OF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expenses of the Company, other than sales or brokerage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the Investor, each Person, if any, who controls the Investor, the members, the directors, officers, partners, employees, agents, representatives of the Investor and each Person, if any, who controls the Investor within the meaning of Section 20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claims, damages, liabilities, judgments, fines, penalties, charges, costs, reasonable attorneys’ fees, amounts paid in settlement (such settlement with the consent of the Company, and such consent not to be unreasonably withheld) or reasonable expenses, joint or several,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by the Company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or (iv) any material violation by the Company of this Agreement (the matters in the foregoing clauses (i) through (iv)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The Company shall reimburse each Indemnified Person promptly as such expenses are incurred and are due and payable, for any reasonable and documented legal fees or other reasonable expenses incurred by them in connection with investigating or defending any such Claim. Notwithstanding anything to the contrary contained herein, the indemnification obligations contained in this Section 6(a):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or prospectus contained therein, if such Registration Statement, New Registration Statement or amendment thereof or supplement thereof or prospectus contained therein was timely made available by the Company pursuant to Section 3(c) or Section 3(e);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Section 3(c) or Section 3(e);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Registration Statement or any New Registration Statement or prospectus, the Investor agrees to indemnify, hold harmless and defend, to the same extent and in the same manner as is set forth in Section 6(a), the Company, each of its directors, each of its officers who signs the Registration Statement or any New Registration Statement, each Person, if any, who controls the Company within the meaning of Section 20 of the Exchange Act (collectively and together with an Indemnified Person,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or updated from time to time in writing by the Investor and furnished to the Company by the Investor expressly for use in connection with such Registration Statement or prospectus or any New Registration Statement or from the failure of the Investor to deliver or cause to be delivered the prospectus made available by the Company, if such prospectus was timely made available by the Company pursuant to Section 3(c) or Section 3(e); and, subject to Section 6(d), the Investor will reimburse any legal or other expenses reasonably incurred (and documented) by such Indemnified Party in connection with investigating or defending any such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indemnity obligations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shall be liable under this Section 6(b)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Indemnified Person or Indemnified Party shall have the right to retain its own counsel with the reasonable and documented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that is later determined (via definitive adjudication) not to be entitled to such payment shall return such payment to the Person making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obligations contained herein shall be in addition to (i) any cause of action or similar right of the Indemnified Party or Indemnified Person against the indemnifying party or others, and (ii) any liabilities the indemnifying party may be subject to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REPORTS AND DISCLOSURE UNDER THE 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the Company agrees, at the Company’s sole expense, for as long as the Investor owns Registrable Securities, to use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Investor so long as the Investor owns Registrable Securities, promptly upon request (i) a written statement by the Company that it has complied with the reporting and or disclosure provisions of Rule 144(c),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color w:val="010101"/>
          <w:sz w:val="20"/>
        </w:rPr>
        <w:t xml:space="preserve">take such additional action as is reasonably requested by the Investor to enable the Investor to sell the Registrable Securities pursuant to Rule 144, including, without limitation, delivering all such legal opinions, consents, certificates, resolutions and instructions to the Transfer Agent as may be reasonably requested from time to time by the Investor and otherwise reasonably cooperate with the Investor and the Investor’s broker to effect such sale of securities pursuant to Rule 144; </w:t>
      </w:r>
      <w:r>
        <w:rPr>
          <w:rFonts w:ascii="Times New Roman;Times;Serif" w:hAnsi="Times New Roman;Times;Serif"/>
          <w:b w:val="false"/>
          <w:i w:val="false"/>
          <w:caps w:val="false"/>
          <w:smallCaps w:val="false"/>
          <w:color w:val="010101"/>
          <w:sz w:val="20"/>
          <w:u w:val="single"/>
        </w:rPr>
        <w:t>provided</w:t>
      </w:r>
      <w:r>
        <w:rPr>
          <w:rFonts w:ascii="Times New Roman;Times;Serif" w:hAnsi="Times New Roman;Times;Serif"/>
          <w:b w:val="false"/>
          <w:i w:val="false"/>
          <w:caps w:val="false"/>
          <w:smallCaps w:val="false"/>
          <w:color w:val="010101"/>
          <w:sz w:val="20"/>
        </w:rPr>
        <w:t xml:space="preserve">, </w:t>
      </w:r>
      <w:r>
        <w:rPr>
          <w:rFonts w:ascii="Times New Roman;Times;Serif" w:hAnsi="Times New Roman;Times;Serif"/>
          <w:b w:val="false"/>
          <w:i w:val="false"/>
          <w:caps w:val="false"/>
          <w:smallCaps w:val="false"/>
          <w:color w:val="010101"/>
          <w:sz w:val="20"/>
          <w:u w:val="single"/>
        </w:rPr>
        <w:t>however</w:t>
      </w:r>
      <w:r>
        <w:rPr>
          <w:rFonts w:ascii="Times New Roman;Times;Serif" w:hAnsi="Times New Roman;Times;Serif"/>
          <w:b w:val="false"/>
          <w:i w:val="false"/>
          <w:caps w:val="false"/>
          <w:smallCaps w:val="false"/>
          <w:color w:val="010101"/>
          <w:sz w:val="20"/>
        </w:rPr>
        <w:t>, the Investor shall provide such documents as may be reasonably required by the Transfer Agent in connection therewith, including any written representations or certifications of the Investor or its broker (which shall not include any opinion of the Investor’s counsel) that may be required by the Transfer Agent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damages may be an inadequate remedy for any breach of the terms and provisions of this Section 8 and that Investor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ASSIGNMENT OF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101"/>
          <w:sz w:val="20"/>
        </w:rPr>
        <w:t xml:space="preserve">The Company shall not assign this Agreement or any rights or obligations hereunder without the prior written consent of the Investor; </w:t>
      </w:r>
      <w:r>
        <w:rPr>
          <w:rFonts w:ascii="Times New Roman;Times;Serif" w:hAnsi="Times New Roman;Times;Serif"/>
          <w:b w:val="false"/>
          <w:i w:val="false"/>
          <w:caps w:val="false"/>
          <w:smallCaps w:val="false"/>
          <w:color w:val="010101"/>
          <w:sz w:val="20"/>
          <w:u w:val="single"/>
        </w:rPr>
        <w:t>provided</w:t>
      </w:r>
      <w:r>
        <w:rPr>
          <w:rFonts w:ascii="Times New Roman;Times;Serif" w:hAnsi="Times New Roman;Times;Serif"/>
          <w:b w:val="false"/>
          <w:i w:val="false"/>
          <w:caps w:val="false"/>
          <w:smallCaps w:val="false"/>
          <w:color w:val="010101"/>
          <w:sz w:val="20"/>
        </w:rPr>
        <w:t xml:space="preserve">, </w:t>
      </w:r>
      <w:r>
        <w:rPr>
          <w:rFonts w:ascii="Times New Roman;Times;Serif" w:hAnsi="Times New Roman;Times;Serif"/>
          <w:b w:val="false"/>
          <w:i w:val="false"/>
          <w:caps w:val="false"/>
          <w:smallCaps w:val="false"/>
          <w:color w:val="010101"/>
          <w:sz w:val="20"/>
          <w:u w:val="single"/>
        </w:rPr>
        <w:t>however</w:t>
      </w:r>
      <w:r>
        <w:rPr>
          <w:rFonts w:ascii="Times New Roman;Times;Serif" w:hAnsi="Times New Roman;Times;Serif"/>
          <w:b w:val="false"/>
          <w:i w:val="false"/>
          <w:caps w:val="false"/>
          <w:smallCaps w:val="false"/>
          <w:color w:val="010101"/>
          <w:sz w:val="20"/>
        </w:rPr>
        <w:t>, that any transaction, whether by merger, reorganization, restructuring, consolidation, financing or otherwise, whereby the Company remains the surviving entity immediately after such transaction shall not be deemed an assignment. The Investor may not assign its rights under this Agreement without the prior written consent of the Company, other than to an affiliate of the Investor, in which case the assignee must agree in writing to be bound by the terms and conditions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 OF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 as set forth on the books and records of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No. 8, Xishanhui</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West Partners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23371 Mullholland Drive, Suite 228</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address and/or to the attention of such other Person as the recipient party has specified by written notice given to each other party three Business Days prior to the effectiveness of such change. Written confirmation of receipt (A) given by the recipient of such notice, consent or other communication, (B) mechanically or electronically generated by the sender’s email account containing the time, date, and recipient email address, as applicable or (C) provided by a nationally recognized overnight delivery service, shall be rebuttable evidence of personal service,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and all claims or cause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and enforced in accordance with the dispute resolution provisions set forth in Section 12(a)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and the Purchase Agreement constitute the entire agreement among the parties hereto with respect to the subject matter hereof and thereof. There are no restrictions, promises, warranties or undertakings among the parties hereto, other than those set forth or referred to herein and therein. This Agreement and the Purchase Agreement supersede all prior agreements and understandings among the parties hereto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is intended for the benefit of the parties hereto and, subject to the requirements of Section 9, their successors and permitted assigns and, except as set forth in Section 6 with respect to those Persons entitled to indemnity thereunder,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headings in this Agreement are for convenience of reference only and shall not limit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language used in this Agreement will be deemed to be the language chosen by the parties to express their mutual intent and no rules of strict construction will be applied against any party. The term “or” shall not be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the Agreement Date.</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75"/>
        <w:gridCol w:w="1274"/>
        <w:gridCol w:w="3650"/>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COMPANY:</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Lina Jiang</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Chairwoman of the Board and Chief Executive Officer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WEST PARTNERS LLC</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Dmitriy Slobodskiy Jr</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EFFECTIVENESS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counsel to BAOSHENG MEDIA GROUP HOLDINGS LIMITED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have represented the Company in connection with that certain Securities Purchase Agreement, dated as of [____]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entered into by and among the Company and the Investor named therein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pursuant to which the Company will issue to the Holder from time to time shares of the Company’s Ordinary Shares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Pursuant to the Purchase Agreement, the Company also has entered into a Registration Rights Agreement, dated as of [____], with the Holder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pursuant to which the Company agreed, among other things, to register the offer and sale by the Holder of the Registrable Securities (as defined in the Registration Rights Agreement)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 connection with the Company’s obligations under the Registration Rights Agreement, on [____], 2026, the Company filed a Registration Statement on Form F-3 (File No. 333-273720), and the related prospectus supplement,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relating to the Registrable Securities which names the Holder as an underwriter and a selling stockholder thereunder.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based solely on our review of the Commission’s EDGAR website, we advise you that the Registration Statement became effective under the Securities Act on [•], 2026. In addition, based solely on our review of the information made available by the Commission at http://www.sec.gov/litigation/stoporders.shtml, we confirm that the Commission has not issued any stop order suspending the effectiveness of the Registration Statement. To our knowledge, based solely on our participation in the conferences mentioned above regarding the Registration Statement and our review of the information made available by the Commission at http://www.sec.gov/litigation/stoporders.shtml, no proceedings for that purpose are pending or have been instituted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update or supplement this letter to reflect any facts or circumstances which may hereafter come to our attention with respect to the matters herein and statements expressed above, including any changes in applicable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delivered solely for the benefit of the person to whom it is addressed; accordingly, it may not be quoted, filed with any governmental authority or other regulatory agency or otherwise circulated or utilized for any purposes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The Investor Furnished To The Company By The Investor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Expressly For Use In Connection With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With Respect to High West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High West Partners LLC, did not beneficially own any shares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tm2619932d2_ex23-1.htm"/>
      <w:bookmarkStart w:id="7" w:name="kstm2619932d2_ex231"/>
      <w:bookmarkEnd w:id="6"/>
      <w:bookmarkEnd w:id="7"/>
      <w:r>
        <w:rPr>
          <w:b/>
        </w:rPr>
        <w:t>Exhibit 23.1</w:t>
      </w:r>
      <w:r>
        <w:br w:type="page"/>
      </w:r>
    </w:p>
    <w:p>
      <w:pPr>
        <w:pStyle w:val="TextBody"/>
        <w:bidi w:val="0"/>
        <w:spacing w:before="0" w:after="283"/>
        <w:jc w:val="left"/>
        <w:rPr/>
      </w:pPr>
      <w:r>
        <w:rPr/>
        <w:t> </w:t>
      </w:r>
    </w:p>
    <w:p>
      <w:pPr>
        <w:pStyle w:val="TextBody"/>
        <w:bidi w:val="0"/>
        <w:jc w:val="center"/>
        <w:rPr>
          <w:b/>
        </w:rPr>
      </w:pPr>
      <w:r>
        <w:rPr>
          <w:b/>
        </w:rPr>
        <w:t xml:space="preserve">CONSENT OF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Baosheng Media Group Holdings Limited’s prospectus supplement filed pursuant to Rule 424(b)(5) of our report dated April 30, 2026, relating to the consolidated balance sheet of the Company as of December 31, 2025, and the related consolidated statements of operations and comprehensive loss, changes in shareholders’ equity, and cash flows for the year then ended, and the related notes, included in Baosheng Media Group Holdings Limited’s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GGF CPA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GGF CPA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36855</Words>
  <Characters>197075</Characters>
  <CharactersWithSpaces>236839</CharactersWithSpaces>
  <Paragraphs>1282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