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18, 2026</w:t>
      </w:r>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187960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Baosheng Media Group Holdings Limited</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4040" w:type="dxa"/>
            <w:vAlign w:val="bottom"/>
            <w:tcBorders>
              <w:bottom w:val="single" w:sz="8" w:color="auto"/>
            </w:tcBorders>
          </w:tcPr>
          <w:p>
            <w:pPr>
              <w:jc w:val="center"/>
              <w:ind w:left="1511"/>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89"/>
        </w:trPr>
        <w:tc>
          <w:tcPr>
            <w:tcW w:w="4040" w:type="dxa"/>
            <w:vAlign w:val="bottom"/>
          </w:tcPr>
          <w:p>
            <w:pPr>
              <w:jc w:val="center"/>
              <w:ind w:left="1511"/>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404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05"/>
        </w:trPr>
        <w:tc>
          <w:tcPr>
            <w:tcW w:w="4040" w:type="dxa"/>
            <w:vAlign w:val="bottom"/>
          </w:tcPr>
          <w:p>
            <w:pPr>
              <w:spacing w:after="0"/>
              <w:rPr>
                <w:sz w:val="24"/>
                <w:szCs w:val="24"/>
                <w:color w:val="auto"/>
              </w:rPr>
            </w:pPr>
          </w:p>
        </w:tc>
        <w:tc>
          <w:tcPr>
            <w:tcW w:w="7200" w:type="dxa"/>
            <w:vAlign w:val="bottom"/>
            <w:gridSpan w:val="3"/>
          </w:tcPr>
          <w:p>
            <w:pPr>
              <w:jc w:val="center"/>
              <w:ind w:right="3951"/>
              <w:spacing w:after="0"/>
              <w:rPr>
                <w:sz w:val="20"/>
                <w:szCs w:val="20"/>
                <w:color w:val="auto"/>
              </w:rPr>
            </w:pPr>
            <w:r>
              <w:rPr>
                <w:rFonts w:ascii="Times New Roman" w:cs="Times New Roman" w:eastAsia="Times New Roman" w:hAnsi="Times New Roman"/>
                <w:sz w:val="18"/>
                <w:szCs w:val="18"/>
                <w:b w:val="1"/>
                <w:bCs w:val="1"/>
                <w:color w:val="auto"/>
                <w:w w:val="97"/>
              </w:rPr>
              <w:t>East Floor 5</w:t>
            </w:r>
          </w:p>
        </w:tc>
      </w:tr>
      <w:tr>
        <w:trPr>
          <w:trHeight w:val="214"/>
        </w:trPr>
        <w:tc>
          <w:tcPr>
            <w:tcW w:w="4040" w:type="dxa"/>
            <w:vAlign w:val="bottom"/>
          </w:tcPr>
          <w:p>
            <w:pPr>
              <w:spacing w:after="0"/>
              <w:rPr>
                <w:sz w:val="18"/>
                <w:szCs w:val="18"/>
                <w:color w:val="auto"/>
              </w:rPr>
            </w:pPr>
          </w:p>
        </w:tc>
        <w:tc>
          <w:tcPr>
            <w:tcW w:w="7200" w:type="dxa"/>
            <w:vAlign w:val="bottom"/>
            <w:gridSpan w:val="3"/>
          </w:tcPr>
          <w:p>
            <w:pPr>
              <w:jc w:val="center"/>
              <w:ind w:right="3951"/>
              <w:spacing w:after="0"/>
              <w:rPr>
                <w:sz w:val="20"/>
                <w:szCs w:val="20"/>
                <w:color w:val="auto"/>
              </w:rPr>
            </w:pPr>
            <w:r>
              <w:rPr>
                <w:rFonts w:ascii="Times New Roman" w:cs="Times New Roman" w:eastAsia="Times New Roman" w:hAnsi="Times New Roman"/>
                <w:sz w:val="18"/>
                <w:szCs w:val="18"/>
                <w:b w:val="1"/>
                <w:bCs w:val="1"/>
                <w:color w:val="auto"/>
                <w:w w:val="98"/>
              </w:rPr>
              <w:t>Building No. 8, Xishanhui</w:t>
            </w:r>
          </w:p>
        </w:tc>
      </w:tr>
      <w:tr>
        <w:trPr>
          <w:trHeight w:val="214"/>
        </w:trPr>
        <w:tc>
          <w:tcPr>
            <w:tcW w:w="4040" w:type="dxa"/>
            <w:vAlign w:val="bottom"/>
          </w:tcPr>
          <w:p>
            <w:pPr>
              <w:spacing w:after="0"/>
              <w:rPr>
                <w:sz w:val="18"/>
                <w:szCs w:val="18"/>
                <w:color w:val="auto"/>
              </w:rPr>
            </w:pPr>
          </w:p>
        </w:tc>
        <w:tc>
          <w:tcPr>
            <w:tcW w:w="7200" w:type="dxa"/>
            <w:vAlign w:val="bottom"/>
            <w:gridSpan w:val="3"/>
          </w:tcPr>
          <w:p>
            <w:pPr>
              <w:jc w:val="center"/>
              <w:ind w:right="3951"/>
              <w:spacing w:after="0"/>
              <w:rPr>
                <w:sz w:val="20"/>
                <w:szCs w:val="20"/>
                <w:color w:val="auto"/>
              </w:rPr>
            </w:pPr>
            <w:r>
              <w:rPr>
                <w:rFonts w:ascii="Times New Roman" w:cs="Times New Roman" w:eastAsia="Times New Roman" w:hAnsi="Times New Roman"/>
                <w:sz w:val="18"/>
                <w:szCs w:val="18"/>
                <w:b w:val="1"/>
                <w:bCs w:val="1"/>
                <w:color w:val="auto"/>
                <w:w w:val="98"/>
              </w:rPr>
              <w:t>Shijingshan District, Beijing 100041</w:t>
            </w:r>
          </w:p>
        </w:tc>
      </w:tr>
      <w:tr>
        <w:trPr>
          <w:trHeight w:val="214"/>
        </w:trPr>
        <w:tc>
          <w:tcPr>
            <w:tcW w:w="4040" w:type="dxa"/>
            <w:vAlign w:val="bottom"/>
          </w:tcPr>
          <w:p>
            <w:pPr>
              <w:spacing w:after="0"/>
              <w:rPr>
                <w:sz w:val="18"/>
                <w:szCs w:val="18"/>
                <w:color w:val="auto"/>
              </w:rPr>
            </w:pPr>
          </w:p>
        </w:tc>
        <w:tc>
          <w:tcPr>
            <w:tcW w:w="7200" w:type="dxa"/>
            <w:vAlign w:val="bottom"/>
            <w:gridSpan w:val="3"/>
          </w:tcPr>
          <w:p>
            <w:pPr>
              <w:jc w:val="center"/>
              <w:ind w:right="3931"/>
              <w:spacing w:after="0"/>
              <w:rPr>
                <w:sz w:val="20"/>
                <w:szCs w:val="20"/>
                <w:color w:val="auto"/>
              </w:rPr>
            </w:pPr>
            <w:r>
              <w:rPr>
                <w:rFonts w:ascii="Times New Roman" w:cs="Times New Roman" w:eastAsia="Times New Roman" w:hAnsi="Times New Roman"/>
                <w:sz w:val="18"/>
                <w:szCs w:val="18"/>
                <w:b w:val="1"/>
                <w:bCs w:val="1"/>
                <w:color w:val="auto"/>
                <w:w w:val="98"/>
              </w:rPr>
              <w:t>People’s Republic of China</w:t>
            </w:r>
          </w:p>
        </w:tc>
      </w:tr>
      <w:tr>
        <w:trPr>
          <w:trHeight w:val="218"/>
        </w:trPr>
        <w:tc>
          <w:tcPr>
            <w:tcW w:w="4040" w:type="dxa"/>
            <w:vAlign w:val="bottom"/>
          </w:tcPr>
          <w:p>
            <w:pPr>
              <w:spacing w:after="0"/>
              <w:rPr>
                <w:sz w:val="18"/>
                <w:szCs w:val="18"/>
                <w:color w:val="auto"/>
              </w:rPr>
            </w:pPr>
          </w:p>
        </w:tc>
        <w:tc>
          <w:tcPr>
            <w:tcW w:w="7200" w:type="dxa"/>
            <w:vAlign w:val="bottom"/>
            <w:gridSpan w:val="3"/>
          </w:tcPr>
          <w:p>
            <w:pPr>
              <w:jc w:val="center"/>
              <w:ind w:right="3931"/>
              <w:spacing w:after="0"/>
              <w:rPr>
                <w:sz w:val="20"/>
                <w:szCs w:val="20"/>
                <w:color w:val="auto"/>
              </w:rPr>
            </w:pPr>
            <w:r>
              <w:rPr>
                <w:rFonts w:ascii="Times New Roman" w:cs="Times New Roman" w:eastAsia="Times New Roman" w:hAnsi="Times New Roman"/>
                <w:sz w:val="18"/>
                <w:szCs w:val="18"/>
                <w:b w:val="1"/>
                <w:bCs w:val="1"/>
                <w:color w:val="auto"/>
                <w:w w:val="99"/>
              </w:rPr>
              <w:t>+86-010-82088021</w:t>
            </w:r>
          </w:p>
        </w:tc>
      </w:tr>
      <w:tr>
        <w:trPr>
          <w:trHeight w:val="233"/>
        </w:trPr>
        <w:tc>
          <w:tcPr>
            <w:tcW w:w="4040" w:type="dxa"/>
            <w:vAlign w:val="bottom"/>
          </w:tcPr>
          <w:p>
            <w:pPr>
              <w:spacing w:after="0"/>
              <w:rPr>
                <w:sz w:val="20"/>
                <w:szCs w:val="20"/>
                <w:color w:val="auto"/>
              </w:rPr>
            </w:pPr>
          </w:p>
        </w:tc>
        <w:tc>
          <w:tcPr>
            <w:tcW w:w="7200" w:type="dxa"/>
            <w:vAlign w:val="bottom"/>
            <w:gridSpan w:val="3"/>
          </w:tcPr>
          <w:p>
            <w:pPr>
              <w:jc w:val="center"/>
              <w:ind w:right="393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Share Incentive Plan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2"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4" w:right="339" w:bottom="1440" w:gutter="0" w:footer="0" w:header="0"/>
        </w:sectPr>
      </w:pPr>
    </w:p>
    <w:p>
      <w:pPr>
        <w:spacing w:after="0" w:line="1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7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360" w:space="720"/>
            <w:col w:w="2160"/>
          </w:cols>
          <w:pgMar w:left="320" w:top="464" w:right="339" w:bottom="1440" w:gutter="0" w:footer="0" w:header="0"/>
          <w:type w:val="continuous"/>
        </w:sectPr>
      </w:pPr>
    </w:p>
    <w:p>
      <w:pPr>
        <w:spacing w:after="0" w:line="12"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177165</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filed by Baosheng Media Group Holdings Limited (the “Company” or the “Registrant”) to register 5,300,000 ordinary shares of a par value of US$0.0096 each in the share capital of the Company (the “Ordinary Shares”), that may be issued under the Company’s 2026 Share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4" w:lineRule="exact"/>
        <w:rPr>
          <w:sz w:val="20"/>
          <w:szCs w:val="20"/>
          <w:color w:val="auto"/>
        </w:rPr>
      </w:pPr>
    </w:p>
    <w:p>
      <w:pPr>
        <w:jc w:val="both"/>
        <w:ind w:left="320" w:hanging="313"/>
        <w:spacing w:after="0" w:line="26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by Part I to be contained in the Section 10(a) prospectus is omitted from this Registration Statement in accordance with Rule 428 under the Securities Act and the Note to Part I of Form S-8. The documents containing information specified in this Part I will be separately provided to the participants in the 2026 Share Incentive Plan covered by this Registration Statement, as specified by Rule 428(b)(1)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The following documents previously filed by the Registrant with the Securities and Exchange Commission (the “Commission”) are incorporated herein by reference.</w:t>
      </w:r>
    </w:p>
    <w:p>
      <w:pPr>
        <w:spacing w:after="0" w:line="163" w:lineRule="exact"/>
        <w:rPr>
          <w:sz w:val="20"/>
          <w:szCs w:val="20"/>
          <w:color w:val="auto"/>
        </w:rPr>
      </w:pPr>
    </w:p>
    <w:p>
      <w:pPr>
        <w:ind w:left="640" w:right="20" w:hanging="313"/>
        <w:spacing w:after="0" w:line="277"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report on </w:t>
      </w:r>
      <w:hyperlink r:id="rId15">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April 30, 2026, including the Registrant’s audited financial statements for that fiscal year;</w:t>
      </w:r>
    </w:p>
    <w:p>
      <w:pPr>
        <w:spacing w:after="0" w:line="163"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Ordinary Shares incorporated by reference in the Registrant’s registration statement on </w:t>
      </w:r>
      <w:hyperlink r:id="rId1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001-39977) filed with the Commission on February 1, 2021, including any amendment and report subsequently filed for the purpose of updating that description.</w:t>
      </w:r>
    </w:p>
    <w:p>
      <w:pPr>
        <w:spacing w:after="0" w:line="177"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the Registrant’s Report of Foreign Private Issuer on Form 6-K furnished to the SEC on </w:t>
        </w:r>
        <w:r>
          <w:rPr>
            <w:rFonts w:ascii="Times New Roman" w:cs="Times New Roman" w:eastAsia="Times New Roman" w:hAnsi="Times New Roman"/>
            <w:sz w:val="18"/>
            <w:szCs w:val="18"/>
            <w:u w:val="single" w:color="auto"/>
            <w:color w:val="0000EE"/>
          </w:rPr>
          <w:t>April 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4,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June 10,</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163" w:lineRule="exact"/>
        <w:rPr>
          <w:rFonts w:ascii="Times New Roman" w:cs="Times New Roman" w:eastAsia="Times New Roman" w:hAnsi="Times New Roman"/>
          <w:sz w:val="18"/>
          <w:szCs w:val="18"/>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hereof from the date of filing of such documents.</w:t>
      </w:r>
    </w:p>
    <w:p>
      <w:pPr>
        <w:spacing w:after="0" w:line="182" w:lineRule="exact"/>
        <w:rPr>
          <w:rFonts w:ascii="Times New Roman" w:cs="Times New Roman" w:eastAsia="Times New Roman" w:hAnsi="Times New Roman"/>
          <w:sz w:val="18"/>
          <w:szCs w:val="18"/>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7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rFonts w:ascii="Times New Roman" w:cs="Times New Roman" w:eastAsia="Times New Roman" w:hAnsi="Times New Roman"/>
          <w:sz w:val="18"/>
          <w:szCs w:val="18"/>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OF NAMED EXPERTS AND COUNSEL</w:t>
      </w:r>
    </w:p>
    <w:p>
      <w:pPr>
        <w:spacing w:after="0" w:line="224" w:lineRule="exact"/>
        <w:rPr>
          <w:rFonts w:ascii="Times New Roman" w:cs="Times New Roman" w:eastAsia="Times New Roman" w:hAnsi="Times New Roman"/>
          <w:sz w:val="18"/>
          <w:szCs w:val="18"/>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rFonts w:ascii="Times New Roman" w:cs="Times New Roman" w:eastAsia="Times New Roman" w:hAnsi="Times New Roman"/>
          <w:sz w:val="18"/>
          <w:szCs w:val="18"/>
          <w:color w:val="auto"/>
        </w:rPr>
      </w:pPr>
    </w:p>
    <w:p>
      <w:pPr>
        <w:jc w:val="both"/>
        <w:ind w:firstLine="321"/>
        <w:spacing w:after="0" w:line="250"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Company’s currently effective memorandum and articles of association provide that every director (including any alternate director), secretary, assistant secretary, or other officer for the time being and from time to time of our company (but not including our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 This standard of conduct is generally the same as permitted under the Delaware General Corporation Law for a Delaware corporation.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422910</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 w:name="page5"/>
    <w:bookmarkEnd w:id="4"/>
    <w:p>
      <w:pPr>
        <w:ind w:right="20" w:firstLine="321"/>
        <w:spacing w:after="0" w:line="277" w:lineRule="auto"/>
        <w:rPr>
          <w:sz w:val="20"/>
          <w:szCs w:val="20"/>
          <w:color w:val="auto"/>
        </w:rPr>
      </w:pPr>
      <w:r>
        <w:rPr>
          <w:rFonts w:ascii="Times New Roman" w:cs="Times New Roman" w:eastAsia="Times New Roman" w:hAnsi="Times New Roman"/>
          <w:sz w:val="18"/>
          <w:szCs w:val="18"/>
          <w:color w:val="auto"/>
        </w:rPr>
        <w:t>In addition, the Registrant has entered into indemnification agreements with its directors and executive officers that provide such persons with additional indemnification beyond that provided in the Company’s currently effective memorandum and articles of association.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6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05"/>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 w:type="dxa"/>
            <w:vAlign w:val="bottom"/>
            <w:tcBorders>
              <w:top w:val="single" w:sz="8" w:color="auto"/>
            </w:tcBorders>
            <w:gridSpan w:val="2"/>
            <w:shd w:val="clear" w:color="auto" w:fill="CCEEFF"/>
          </w:tcPr>
          <w:p>
            <w:pPr>
              <w:spacing w:after="0" w:line="167"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auto"/>
            </w:tcBorders>
            <w:gridSpan w:val="10"/>
            <w:shd w:val="clear" w:color="auto" w:fill="CCEEFF"/>
          </w:tcPr>
          <w:p>
            <w:pPr>
              <w:spacing w:after="0" w:line="167"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Amended and Restated Memorandum and Articles of Association (incorporated herein by reference to Exhibit 1.1 to our annual report on</w:t>
              </w:r>
            </w:hyperlink>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80" w:type="dxa"/>
            <w:vAlign w:val="bottom"/>
            <w:tcBorders>
              <w:top w:val="single" w:sz="8" w:color="0000EE"/>
              <w:bottom w:val="single" w:sz="8" w:color="0000EE"/>
            </w:tcBorders>
            <w:gridSpan w:val="8"/>
            <w:shd w:val="clear" w:color="auto" w:fill="CCEEFF"/>
          </w:tcPr>
          <w:p>
            <w:pPr>
              <w:spacing w:after="0" w:line="194" w:lineRule="exact"/>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Form 20-F for the fiscal year ended December 31, 2023 (File No. 001-39977), filed with the SEC on May 15, 2024)</w:t>
              </w:r>
            </w:hyperlink>
          </w:p>
        </w:tc>
        <w:tc>
          <w:tcPr>
            <w:tcW w:w="172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gridSpan w:val="2"/>
          </w:tcPr>
          <w:p>
            <w:pPr>
              <w:spacing w:after="0" w:line="174"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10"/>
          </w:tcPr>
          <w:p>
            <w:pPr>
              <w:spacing w:after="0" w:line="174"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Registrant’s Specimen Certificate for Ordinary Shares (incorporated herein by reference to Exhibit 2.1 to our annual report on Form 20-F</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for the fiscal year ended December 31, 2022 (File No. 001-39977), filed with the SEC on May 8, 2023)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6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10"/>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Opinion of Harney Westwood Riegels, Cayman Islands counsel to the Registrant, regarding the validity of the Ordinary Shares being</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0000EE"/>
              <w:bottom w:val="single" w:sz="8" w:color="0000EE"/>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w w:val="98"/>
              </w:rPr>
              <w:t>registered</w:t>
            </w:r>
          </w:p>
        </w:tc>
        <w:tc>
          <w:tcPr>
            <w:tcW w:w="928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4"/>
          </w:tcPr>
          <w:p>
            <w:pPr>
              <w:spacing w:after="0" w:line="17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5"/>
                <w:szCs w:val="15"/>
                <w:color w:val="auto"/>
              </w:rPr>
            </w:pPr>
          </w:p>
        </w:tc>
        <w:tc>
          <w:tcPr>
            <w:tcW w:w="10000" w:type="dxa"/>
            <w:vAlign w:val="bottom"/>
            <w:gridSpan w:val="10"/>
          </w:tcPr>
          <w:p>
            <w:pPr>
              <w:spacing w:after="0" w:line="174" w:lineRule="exact"/>
              <w:rPr>
                <w:sz w:val="20"/>
                <w:szCs w:val="20"/>
                <w:color w:val="auto"/>
              </w:rPr>
            </w:pPr>
            <w:r>
              <w:rPr>
                <w:rFonts w:ascii="Times New Roman" w:cs="Times New Roman" w:eastAsia="Times New Roman" w:hAnsi="Times New Roman"/>
                <w:sz w:val="18"/>
                <w:szCs w:val="18"/>
                <w:color w:val="0000EE"/>
              </w:rPr>
              <w:t>2026 Share Incentive 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0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0" w:type="dxa"/>
            <w:vAlign w:val="bottom"/>
            <w:gridSpan w:val="10"/>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 (GGF CPA LTD)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 w:type="dxa"/>
            <w:vAlign w:val="bottom"/>
            <w:tcBorders>
              <w:top w:val="single" w:sz="8" w:color="0000EE"/>
            </w:tcBorders>
            <w:gridSpan w:val="3"/>
          </w:tcPr>
          <w:p>
            <w:pPr>
              <w:spacing w:after="0" w:line="174" w:lineRule="exact"/>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540" w:type="dxa"/>
            <w:vAlign w:val="bottom"/>
            <w:tcBorders>
              <w:top w:val="single" w:sz="8" w:color="0000EE"/>
            </w:tcBorders>
            <w:gridSpan w:val="5"/>
          </w:tcPr>
          <w:p>
            <w:pPr>
              <w:spacing w:after="0" w:line="174" w:lineRule="exact"/>
              <w:rPr>
                <w:sz w:val="20"/>
                <w:szCs w:val="20"/>
                <w:color w:val="auto"/>
              </w:rPr>
            </w:pPr>
            <w:r>
              <w:rPr>
                <w:rFonts w:ascii="Times New Roman" w:cs="Times New Roman" w:eastAsia="Times New Roman" w:hAnsi="Times New Roman"/>
                <w:sz w:val="18"/>
                <w:szCs w:val="18"/>
                <w:color w:val="0000EE"/>
              </w:rPr>
              <w:t>Consent of Harney Westwood Riegels (included in Exhibit 5.1)</w:t>
            </w:r>
          </w:p>
        </w:tc>
        <w:tc>
          <w:tcPr>
            <w:tcW w:w="4460" w:type="dxa"/>
            <w:vAlign w:val="bottom"/>
            <w:tcBorders>
              <w:top w:val="single" w:sz="8" w:color="CCEEFF"/>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0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0" w:type="dxa"/>
            <w:vAlign w:val="bottom"/>
            <w:gridSpan w:val="10"/>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Power of Attorney (included on the signature page to this Registration Statement)</w:t>
            </w:r>
          </w:p>
        </w:tc>
        <w:tc>
          <w:tcPr>
            <w:tcW w:w="0" w:type="dxa"/>
            <w:vAlign w:val="bottom"/>
          </w:tcPr>
          <w:p>
            <w:pPr>
              <w:spacing w:after="0"/>
              <w:rPr>
                <w:sz w:val="1"/>
                <w:szCs w:val="1"/>
                <w:color w:val="auto"/>
              </w:rPr>
            </w:pPr>
          </w:p>
        </w:tc>
      </w:tr>
      <w:tr>
        <w:trPr>
          <w:trHeight w:val="174"/>
        </w:trPr>
        <w:tc>
          <w:tcPr>
            <w:tcW w:w="20" w:type="dxa"/>
            <w:vAlign w:val="bottom"/>
            <w:tcBorders>
              <w:bottom w:val="single" w:sz="8" w:color="0000EE"/>
            </w:tcBorders>
          </w:tcPr>
          <w:p>
            <w:pPr>
              <w:spacing w:after="0"/>
              <w:rPr>
                <w:sz w:val="15"/>
                <w:szCs w:val="15"/>
                <w:color w:val="auto"/>
              </w:rPr>
            </w:pPr>
          </w:p>
        </w:tc>
        <w:tc>
          <w:tcPr>
            <w:tcW w:w="260" w:type="dxa"/>
            <w:vAlign w:val="bottom"/>
            <w:tcBorders>
              <w:top w:val="single" w:sz="8" w:color="0000EE"/>
              <w:bottom w:val="single" w:sz="8" w:color="0000EE"/>
            </w:tcBorders>
            <w:gridSpan w:val="2"/>
          </w:tcPr>
          <w:p>
            <w:pPr>
              <w:spacing w:after="0" w:line="174" w:lineRule="exact"/>
              <w:rPr>
                <w:sz w:val="20"/>
                <w:szCs w:val="20"/>
                <w:color w:val="auto"/>
              </w:rPr>
            </w:pPr>
            <w:r>
              <w:rPr>
                <w:rFonts w:ascii="Times New Roman" w:cs="Times New Roman" w:eastAsia="Times New Roman" w:hAnsi="Times New Roman"/>
                <w:sz w:val="18"/>
                <w:szCs w:val="18"/>
                <w:color w:val="0000EE"/>
                <w:w w:val="88"/>
              </w:rPr>
              <w:t>107</w:t>
            </w:r>
          </w:p>
        </w:tc>
        <w:tc>
          <w:tcPr>
            <w:tcW w:w="40" w:type="dxa"/>
            <w:vAlign w:val="bottom"/>
            <w:tcBorders>
              <w:top w:val="single" w:sz="8" w:color="0000EE"/>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340" w:type="dxa"/>
            <w:vAlign w:val="bottom"/>
            <w:tcBorders>
              <w:top w:val="single" w:sz="8" w:color="0000EE"/>
              <w:bottom w:val="single" w:sz="8" w:color="0000EE"/>
            </w:tcBorders>
            <w:gridSpan w:val="3"/>
          </w:tcPr>
          <w:p>
            <w:pPr>
              <w:spacing w:after="0" w:line="174" w:lineRule="exact"/>
              <w:rPr>
                <w:sz w:val="20"/>
                <w:szCs w:val="20"/>
                <w:color w:val="auto"/>
              </w:rPr>
            </w:pPr>
            <w:r>
              <w:rPr>
                <w:rFonts w:ascii="Times New Roman" w:cs="Times New Roman" w:eastAsia="Times New Roman" w:hAnsi="Times New Roman"/>
                <w:sz w:val="18"/>
                <w:szCs w:val="18"/>
                <w:color w:val="0000EE"/>
                <w:w w:val="98"/>
              </w:rPr>
              <w:t>Filing Fee Table (filed herewith)</w:t>
            </w:r>
          </w:p>
        </w:tc>
        <w:tc>
          <w:tcPr>
            <w:tcW w:w="3480" w:type="dxa"/>
            <w:vAlign w:val="bottom"/>
            <w:tcBorders>
              <w:top w:val="single" w:sz="8" w:color="0000EE"/>
            </w:tcBorders>
            <w:gridSpan w:val="3"/>
          </w:tcPr>
          <w:p>
            <w:pPr>
              <w:spacing w:after="0"/>
              <w:rPr>
                <w:sz w:val="15"/>
                <w:szCs w:val="15"/>
                <w:color w:val="auto"/>
              </w:rPr>
            </w:pPr>
          </w:p>
        </w:tc>
        <w:tc>
          <w:tcPr>
            <w:tcW w:w="4180" w:type="dxa"/>
            <w:vAlign w:val="bottom"/>
            <w:tcBorders>
              <w:top w:val="single" w:sz="8" w:color="CCEEFF"/>
            </w:tcBorders>
            <w:gridSpan w:val="4"/>
          </w:tcPr>
          <w:p>
            <w:pPr>
              <w:spacing w:after="0"/>
              <w:rPr>
                <w:sz w:val="15"/>
                <w:szCs w:val="15"/>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320" w:hanging="313"/>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jc w:val="both"/>
        <w:ind w:left="960" w:hanging="312"/>
        <w:spacing w:after="0" w:line="262" w:lineRule="auto"/>
        <w:tabs>
          <w:tab w:leader="none" w:pos="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7" w:lineRule="exact"/>
        <w:rPr>
          <w:rFonts w:ascii="Times New Roman" w:cs="Times New Roman" w:eastAsia="Times New Roman" w:hAnsi="Times New Roman"/>
          <w:sz w:val="18"/>
          <w:szCs w:val="18"/>
          <w:color w:val="auto"/>
        </w:rPr>
      </w:pPr>
    </w:p>
    <w:p>
      <w:pPr>
        <w:ind w:left="960" w:hanging="312"/>
        <w:spacing w:after="0" w:line="277" w:lineRule="auto"/>
        <w:tabs>
          <w:tab w:leader="none" w:pos="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jc w:val="both"/>
        <w:ind w:left="9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periodic reports filed with or furnished to the Commission by the Registrant pursuant to Section 13 or Section 15(d) of the Exchange Act that are incorporated by reference in the Registration Statement.</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 w:name="page6"/>
    <w:bookmarkEnd w:id="5"/>
    <w:p>
      <w:pPr>
        <w:ind w:left="633" w:hanging="313"/>
        <w:spacing w:after="0" w:line="277" w:lineRule="auto"/>
        <w:tabs>
          <w:tab w:leader="none" w:pos="63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jc w:val="both"/>
        <w:ind w:left="313" w:hanging="313"/>
        <w:spacing w:after="0" w:line="255" w:lineRule="auto"/>
        <w:tabs>
          <w:tab w:leader="none" w:pos="3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jc w:val="both"/>
        <w:ind w:left="313" w:hanging="313"/>
        <w:spacing w:after="0" w:line="252" w:lineRule="auto"/>
        <w:tabs>
          <w:tab w:leader="none" w:pos="3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People’s Republic of China, on June 18, 2026.</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22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Lina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Lina Jiang</w:t>
      </w:r>
    </w:p>
    <w:p>
      <w:pPr>
        <w:spacing w:after="0" w:line="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Chairwoman of the Board and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Lina Jiang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9"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set forth below on June 18,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4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3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r>
      <w:tr>
        <w:trPr>
          <w:trHeight w:val="427"/>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Lina Jiang</w:t>
            </w:r>
          </w:p>
        </w:tc>
        <w:tc>
          <w:tcPr>
            <w:tcW w:w="1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Chairwoman of the Board and Chief Executive Officer</w:t>
            </w:r>
          </w:p>
        </w:tc>
      </w:tr>
      <w:tr>
        <w:trPr>
          <w:trHeight w:val="22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Lina Jiang</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409"/>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Chenfang Zhai</w:t>
            </w:r>
          </w:p>
        </w:tc>
        <w:tc>
          <w:tcPr>
            <w:tcW w:w="1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2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Chenfang Zhai</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409"/>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Lei Cai</w:t>
            </w:r>
          </w:p>
        </w:tc>
        <w:tc>
          <w:tcPr>
            <w:tcW w:w="1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Lei Cai</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409"/>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Jian Zhang</w:t>
            </w:r>
          </w:p>
        </w:tc>
        <w:tc>
          <w:tcPr>
            <w:tcW w:w="1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Jian Zhang</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409"/>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Chenxi Fang</w:t>
            </w:r>
          </w:p>
        </w:tc>
        <w:tc>
          <w:tcPr>
            <w:tcW w:w="1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Independent Director</w:t>
            </w:r>
          </w:p>
        </w:tc>
      </w:tr>
      <w:tr>
        <w:trPr>
          <w:trHeight w:val="22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Chenxi Fang</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622"/>
        </w:trPr>
        <w:tc>
          <w:tcPr>
            <w:tcW w:w="434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8"/>
                <w:szCs w:val="18"/>
                <w:color w:val="auto"/>
              </w:rPr>
              <w:t>II-3</w:t>
            </w:r>
          </w:p>
        </w:tc>
      </w:tr>
    </w:tbl>
    <w:p>
      <w:pPr>
        <w:sectPr>
          <w:pgSz w:w="11900" w:h="16838" w:orient="portrait"/>
          <w:cols w:equalWidth="0" w:num="1">
            <w:col w:w="11240"/>
          </w:cols>
          <w:pgMar w:left="320" w:top="892"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4"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Baosheng Media Group Holdings Limited, has signed this registration statement or amendment thereto in New York on June 18, 2026.</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Colleen A. De Vrie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17145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Colleen A. De Vrie</w:t>
      </w:r>
    </w:p>
    <w:p>
      <w:pPr>
        <w:spacing w:after="0" w:line="3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Harney Westwood &amp; Riegels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2002155" cy="576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002155" cy="576580"/>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14th Floor, Alexandra House</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 Chater Road</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Central</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Hong Kong</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 +852 5806 7800</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+852 5806 7810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June 2026</w:t>
      </w:r>
    </w:p>
    <w:p>
      <w:pPr>
        <w:spacing w:after="0" w:line="220"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7"/>
          <w:szCs w:val="17"/>
          <w:color w:val="auto"/>
        </w:rPr>
        <w:t>069593.0002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31"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宝盛传媒集团控股有限公司</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O. Box 10240, 4th Floor, Harbour Place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South Church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Town, Grand Cayman KY1-1002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3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b w:val="1"/>
          <w:bCs w:val="1"/>
          <w:color w:val="auto"/>
        </w:rPr>
        <w:t>Baosheng Media Group Holdings Limited</w:t>
      </w:r>
      <w:r>
        <w:rPr>
          <w:rFonts w:ascii="SimSun" w:cs="SimSun" w:eastAsia="SimSun" w:hAnsi="SimSun"/>
          <w:sz w:val="18"/>
          <w:szCs w:val="18"/>
          <w:color w:val="auto"/>
        </w:rPr>
        <w:t>宝盛传媒集团控股有限公司</w:t>
      </w:r>
      <w:r>
        <w:rPr>
          <w:rFonts w:ascii="Times New Roman" w:cs="Times New Roman" w:eastAsia="Times New Roman" w:hAnsi="Times New Roman"/>
          <w:sz w:val="18"/>
          <w:szCs w:val="18"/>
          <w:b w:val="1"/>
          <w:bCs w:val="1"/>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b w:val="1"/>
          <w:bCs w:val="1"/>
          <w:color w:val="auto"/>
        </w:rPr>
        <w:t>)</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lawyers qualified to practise in the Cayman Islands and have acted as Cayman Islands legal advisers to the Company in connection with the Company’s registration statement on Form S-8, including all amendments or supplements thereto, to be filed on or around the date of this opinion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under the United States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relating to the registration of 5,300,000 ordinary shares of a par value of US$0.0096 each (the</w:t>
      </w:r>
      <w:r>
        <w:rPr>
          <w:rFonts w:ascii="Times New Roman" w:cs="Times New Roman" w:eastAsia="Times New Roman" w:hAnsi="Times New Roman"/>
          <w:sz w:val="18"/>
          <w:szCs w:val="18"/>
          <w:b w:val="1"/>
          <w:bCs w:val="1"/>
          <w:i w:val="1"/>
          <w:iCs w:val="1"/>
          <w:color w:val="auto"/>
        </w:rPr>
        <w:t xml:space="preserve"> Shares</w:t>
      </w:r>
      <w:r>
        <w:rPr>
          <w:rFonts w:ascii="Times New Roman" w:cs="Times New Roman" w:eastAsia="Times New Roman" w:hAnsi="Times New Roman"/>
          <w:sz w:val="18"/>
          <w:szCs w:val="18"/>
          <w:color w:val="auto"/>
        </w:rPr>
        <w:t>) under the Company’s 2026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incentive plan (the </w:t>
      </w:r>
      <w:r>
        <w:rPr>
          <w:rFonts w:ascii="Times New Roman" w:cs="Times New Roman" w:eastAsia="Times New Roman" w:hAnsi="Times New Roman"/>
          <w:sz w:val="18"/>
          <w:szCs w:val="18"/>
          <w:b w:val="1"/>
          <w:bCs w:val="1"/>
          <w:i w:val="1"/>
          <w:iCs w:val="1"/>
          <w:color w:val="auto"/>
        </w:rPr>
        <w:t>2026 Share Incentive Plan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furnishing this opinion as Exhibit 5.1 to the Registration Statement.</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purposes of giving this opinion, we have examined the Documents (as defined in Schedule 1) which we regard as necessary in order to issue this opinion. We have not examined any other documents, official or corporate records or external or internal registers and have not undertaken or been instructed to undertake any further enquiry or due diligence in relation to the transaction which is the subject of this opinion.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giving this opinion we have relied upon the assumptions set out in Schedule 2 which we have not independently verified.</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Based solely upon the foregoing examinations and assumptions and upon such searches as we have conducted and having regard to legal considerations which we deem relevant, and subject to the qualifications set out in Schedule 3, we are of the opinion that under the laws of the Cayman Islands: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The British Virgin Islands is Harneys Hong Kong office's main jurisdiction of practice.</w:t>
            </w:r>
          </w:p>
        </w:tc>
        <w:tc>
          <w:tcPr>
            <w:tcW w:w="4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Anguilla | Bermuda | British Virgin Islands</w:t>
            </w:r>
          </w:p>
        </w:tc>
        <w:tc>
          <w:tcPr>
            <w:tcW w:w="0" w:type="dxa"/>
            <w:vAlign w:val="bottom"/>
          </w:tcPr>
          <w:p>
            <w:pPr>
              <w:spacing w:after="0"/>
              <w:rPr>
                <w:sz w:val="1"/>
                <w:szCs w:val="1"/>
                <w:color w:val="auto"/>
              </w:rPr>
            </w:pPr>
          </w:p>
        </w:tc>
      </w:tr>
      <w:tr>
        <w:trPr>
          <w:trHeight w:val="147"/>
        </w:trPr>
        <w:tc>
          <w:tcPr>
            <w:tcW w:w="69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Jersey legal services are provided through a referral arrangement with Harneys (Jersey) which is an</w:t>
            </w:r>
          </w:p>
        </w:tc>
        <w:tc>
          <w:tcPr>
            <w:tcW w:w="4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independently owned and controlled Jersey law firm.</w:t>
            </w:r>
          </w:p>
        </w:tc>
        <w:tc>
          <w:tcPr>
            <w:tcW w:w="43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Cayman Islands | Cyprus | Dubai | Hong Kong | Jersey</w:t>
            </w:r>
          </w:p>
        </w:tc>
        <w:tc>
          <w:tcPr>
            <w:tcW w:w="0" w:type="dxa"/>
            <w:vAlign w:val="bottom"/>
          </w:tcPr>
          <w:p>
            <w:pPr>
              <w:spacing w:after="0"/>
              <w:rPr>
                <w:sz w:val="1"/>
                <w:szCs w:val="1"/>
                <w:color w:val="auto"/>
              </w:rPr>
            </w:pPr>
          </w:p>
        </w:tc>
      </w:tr>
      <w:tr>
        <w:trPr>
          <w:trHeight w:val="147"/>
        </w:trPr>
        <w:tc>
          <w:tcPr>
            <w:tcW w:w="69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Resident Partners: M Chu | Y Fan | SG Gray | IC Groark | SO Karolczuk | PM Kay | MW Kwok</w:t>
            </w:r>
          </w:p>
        </w:tc>
        <w:tc>
          <w:tcPr>
            <w:tcW w:w="43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London | Luxembourg | Shanghai | Singapore</w:t>
            </w:r>
          </w:p>
        </w:tc>
        <w:tc>
          <w:tcPr>
            <w:tcW w:w="0" w:type="dxa"/>
            <w:vAlign w:val="bottom"/>
          </w:tcPr>
          <w:p>
            <w:pPr>
              <w:spacing w:after="0"/>
              <w:rPr>
                <w:sz w:val="1"/>
                <w:szCs w:val="1"/>
                <w:color w:val="auto"/>
              </w:rPr>
            </w:pPr>
          </w:p>
        </w:tc>
      </w:tr>
      <w:tr>
        <w:trPr>
          <w:trHeight w:val="185"/>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WPT Lee | IN Mann | BP McCosker | R Ng | PJ Sephton</w:t>
            </w:r>
          </w:p>
        </w:tc>
        <w:tc>
          <w:tcPr>
            <w:tcW w:w="4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harneys.com</w:t>
            </w:r>
          </w:p>
        </w:tc>
        <w:tc>
          <w:tcPr>
            <w:tcW w:w="0" w:type="dxa"/>
            <w:vAlign w:val="bottom"/>
          </w:tcPr>
          <w:p>
            <w:pPr>
              <w:spacing w:after="0"/>
              <w:rPr>
                <w:sz w:val="1"/>
                <w:szCs w:val="1"/>
                <w:color w:val="auto"/>
              </w:rPr>
            </w:pPr>
          </w:p>
        </w:tc>
      </w:tr>
      <w:tr>
        <w:trPr>
          <w:trHeight w:val="653"/>
        </w:trPr>
        <w:tc>
          <w:tcPr>
            <w:tcW w:w="69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9" w:name="page10"/>
    <w:bookmarkEnd w:id="9"/>
    <w:p>
      <w:pPr>
        <w:ind w:left="640" w:hanging="633"/>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Existence and Good Standing. </w:t>
      </w:r>
      <w:r>
        <w:rPr>
          <w:rFonts w:ascii="Times New Roman" w:cs="Times New Roman" w:eastAsia="Times New Roman" w:hAnsi="Times New Roman"/>
          <w:sz w:val="18"/>
          <w:szCs w:val="18"/>
          <w:color w:val="auto"/>
        </w:rPr>
        <w:t>The Company is a company duly incorporated with limited liability, and is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Cayman Islands. The Company is a separate legal entity and is subject to suit in its own name.</w:t>
      </w:r>
    </w:p>
    <w:p>
      <w:pPr>
        <w:spacing w:after="0" w:line="155" w:lineRule="exact"/>
        <w:rPr>
          <w:sz w:val="20"/>
          <w:szCs w:val="20"/>
          <w:color w:val="auto"/>
        </w:rPr>
      </w:pPr>
    </w:p>
    <w:p>
      <w:pPr>
        <w:jc w:val="both"/>
        <w:ind w:left="640" w:hanging="633"/>
        <w:spacing w:after="0" w:line="259"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Valid Issuance of Shares. </w:t>
      </w:r>
      <w:r>
        <w:rPr>
          <w:rFonts w:ascii="Times New Roman" w:cs="Times New Roman" w:eastAsia="Times New Roman" w:hAnsi="Times New Roman"/>
          <w:sz w:val="18"/>
          <w:szCs w:val="18"/>
          <w:color w:val="auto"/>
        </w:rPr>
        <w:t>The Shares when authorised to be issued, sold and paid for in the manner described in the 2026 Share Incentive Plan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Resolutions (as defined in Schedule 1) and, when allotted, issued and fully paid for in accordance with the 2026 Share Incentive Plan and the Registration Statement, and when the names of the shareholders are entered in the register of members of the Company, the Shares will be validly issued, fully paid and non-assessable.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opinion is confined to the matters expressly opined on herein and given on the basis of the laws of the Cayman Islands as they are in force and applied by the Cayman Islands courts at the date of this opinion. We have made no investigation of, and express no opinion on, the laws of any other jurisdiction. Except as specifically stated herein, we express no opinion as to matters of fact.</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above opinion, we hereby consent to the filing of this opinion as an exhibit to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limited to the matters referred to herein and shall not be construed as extending to any other matter or document not referred to herein.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shall be construed in accordance with the laws of the Cayman Islands.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151765</wp:posOffset>
            </wp:positionV>
            <wp:extent cx="1560830" cy="424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560830" cy="42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Harney Westwood &amp; Riegels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List of Documents and Records Examined</w:t>
      </w:r>
    </w:p>
    <w:p>
      <w:pPr>
        <w:spacing w:after="0" w:line="220" w:lineRule="exact"/>
        <w:rPr>
          <w:sz w:val="20"/>
          <w:szCs w:val="20"/>
          <w:color w:val="auto"/>
        </w:rPr>
      </w:pPr>
    </w:p>
    <w:p>
      <w:pPr>
        <w:ind w:left="640" w:hanging="63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of the Company dated 4 December 2018;</w:t>
      </w:r>
    </w:p>
    <w:p>
      <w:pPr>
        <w:spacing w:after="0" w:line="220" w:lineRule="exact"/>
        <w:rPr>
          <w:sz w:val="20"/>
          <w:szCs w:val="20"/>
          <w:color w:val="auto"/>
        </w:rPr>
      </w:pPr>
    </w:p>
    <w:p>
      <w:pPr>
        <w:jc w:val="both"/>
        <w:ind w:left="640" w:hanging="633"/>
        <w:spacing w:after="0" w:line="257"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and restated memorandum and articles of association of the Company adopted by a special resolution passed on 20 July 2020 and effective on 10 February 2021, which were subsequently amended by the annual general meeting of the shareholders of the Company held on 28 April 2022, the annual general meeting of the shareholders of the Company held on 6 March 2023, and the extraordinary general meeting of the shareholders of the Company held on 28 September 2023, respectively;</w:t>
      </w:r>
    </w:p>
    <w:p>
      <w:pPr>
        <w:spacing w:after="0" w:line="182" w:lineRule="exact"/>
        <w:rPr>
          <w:sz w:val="20"/>
          <w:szCs w:val="20"/>
          <w:color w:val="auto"/>
        </w:rPr>
      </w:pPr>
    </w:p>
    <w:p>
      <w:pPr>
        <w:ind w:left="640" w:hanging="63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register of directors the Company provided to us on 12 June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Copies of 1 to 3 above have been provided to us by the Company (the </w:t>
      </w:r>
      <w:r>
        <w:rPr>
          <w:rFonts w:ascii="Times New Roman" w:cs="Times New Roman" w:eastAsia="Times New Roman" w:hAnsi="Times New Roman"/>
          <w:sz w:val="18"/>
          <w:szCs w:val="18"/>
          <w:b w:val="1"/>
          <w:bCs w:val="1"/>
          <w:i w:val="1"/>
          <w:iCs w:val="1"/>
          <w:color w:val="auto"/>
        </w:rPr>
        <w:t>Corporate Documents</w:t>
      </w:r>
      <w:r>
        <w:rPr>
          <w:rFonts w:ascii="Times New Roman" w:cs="Times New Roman" w:eastAsia="Times New Roman" w:hAnsi="Times New Roman"/>
          <w:sz w:val="18"/>
          <w:szCs w:val="18"/>
          <w:color w:val="auto"/>
        </w:rPr>
        <w:t xml:space="preserve">, and together with 4 to 8 below,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hanging="63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executed unanimous written resolutions of the directors of the Company passed on 17 June 2026 (the </w:t>
      </w:r>
      <w:r>
        <w:rPr>
          <w:rFonts w:ascii="Times New Roman" w:cs="Times New Roman" w:eastAsia="Times New Roman" w:hAnsi="Times New Roman"/>
          <w:sz w:val="18"/>
          <w:szCs w:val="18"/>
          <w:b w:val="1"/>
          <w:bCs w:val="1"/>
          <w:i w:val="1"/>
          <w:iCs w:val="1"/>
          <w:color w:val="auto"/>
        </w:rPr>
        <w:t>Resolutions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640" w:right="20" w:hanging="633"/>
        <w:spacing w:after="0" w:line="27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good standing in respect of the Company issued by the Registrar of Companies in the Cayman Islands dated 16 June 2026;</w:t>
      </w:r>
    </w:p>
    <w:p>
      <w:pPr>
        <w:spacing w:after="0" w:line="159" w:lineRule="exact"/>
        <w:rPr>
          <w:sz w:val="20"/>
          <w:szCs w:val="20"/>
          <w:color w:val="auto"/>
        </w:rPr>
      </w:pPr>
    </w:p>
    <w:p>
      <w:pPr>
        <w:ind w:left="640" w:hanging="63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certificate from a director of the Company dated 16 June 2026, a copy of which is attached hereto (the </w:t>
      </w:r>
      <w:r>
        <w:rPr>
          <w:rFonts w:ascii="Times New Roman" w:cs="Times New Roman" w:eastAsia="Times New Roman" w:hAnsi="Times New Roman"/>
          <w:sz w:val="18"/>
          <w:szCs w:val="18"/>
          <w:b w:val="1"/>
          <w:bCs w:val="1"/>
          <w:i w:val="1"/>
          <w:iCs w:val="1"/>
          <w:color w:val="auto"/>
        </w:rPr>
        <w:t>Director’s Certificate</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The Registration Statement filed with the Commission on or about the date of this opinion; and</w:t>
      </w:r>
    </w:p>
    <w:p>
      <w:pPr>
        <w:spacing w:after="0" w:line="2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7"/>
          <w:szCs w:val="17"/>
          <w:color w:val="auto"/>
        </w:rPr>
        <w:t>A copy of the 2026 Share Incentive Plan.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Assumptions</w:t>
      </w:r>
    </w:p>
    <w:p>
      <w:pPr>
        <w:spacing w:after="0" w:line="216" w:lineRule="exact"/>
        <w:rPr>
          <w:sz w:val="20"/>
          <w:szCs w:val="20"/>
          <w:color w:val="auto"/>
        </w:rPr>
      </w:pPr>
    </w:p>
    <w:p>
      <w:pPr>
        <w:ind w:left="500" w:hanging="493"/>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Authenticity of Documents. </w:t>
      </w:r>
      <w:r>
        <w:rPr>
          <w:rFonts w:ascii="Times New Roman" w:cs="Times New Roman" w:eastAsia="Times New Roman" w:hAnsi="Times New Roman"/>
          <w:sz w:val="18"/>
          <w:szCs w:val="18"/>
          <w:color w:val="auto"/>
        </w:rPr>
        <w:t>Copy documents or drafts of documents provided to us are true and complete copies of, or in the final forms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originals. All original Documents are authentic, all signatures, initials and seals are genuine.</w:t>
      </w:r>
    </w:p>
    <w:p>
      <w:pPr>
        <w:spacing w:after="0" w:line="155" w:lineRule="exact"/>
        <w:rPr>
          <w:sz w:val="20"/>
          <w:szCs w:val="20"/>
          <w:color w:val="auto"/>
        </w:rPr>
      </w:pPr>
    </w:p>
    <w:p>
      <w:pPr>
        <w:jc w:val="both"/>
        <w:ind w:left="500" w:hanging="493"/>
        <w:spacing w:after="0" w:line="265"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Documents. </w:t>
      </w:r>
      <w:r>
        <w:rPr>
          <w:rFonts w:ascii="Times New Roman" w:cs="Times New Roman" w:eastAsia="Times New Roman" w:hAnsi="Times New Roman"/>
          <w:sz w:val="18"/>
          <w:szCs w:val="18"/>
          <w:color w:val="auto"/>
        </w:rPr>
        <w:t>All matters required by law to be recorded in the Corporate Documents are so recorded, and all corporate minutes,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resolutions, certificates, documents and records which we have reviewed are accurate and complete, and all facts expressed in or implied thereby are accurate and complete as at the date of the passing of the Resolutions.</w:t>
      </w:r>
    </w:p>
    <w:p>
      <w:pPr>
        <w:spacing w:after="0" w:line="169" w:lineRule="exact"/>
        <w:rPr>
          <w:sz w:val="20"/>
          <w:szCs w:val="20"/>
          <w:color w:val="auto"/>
        </w:rPr>
      </w:pPr>
    </w:p>
    <w:p>
      <w:pPr>
        <w:ind w:left="500" w:hanging="493"/>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 Certificate</w:t>
      </w:r>
      <w:r>
        <w:rPr>
          <w:rFonts w:ascii="Times New Roman" w:cs="Times New Roman" w:eastAsia="Times New Roman" w:hAnsi="Times New Roman"/>
          <w:sz w:val="18"/>
          <w:szCs w:val="18"/>
          <w:color w:val="auto"/>
        </w:rPr>
        <w:t>. The contents of the Director’s Certificate are true and accurate as at the date of this opinion and there is no information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the Director’s Certificate that will in any way affect this opinion.</w:t>
      </w:r>
    </w:p>
    <w:p>
      <w:pPr>
        <w:spacing w:after="0" w:line="155" w:lineRule="exact"/>
        <w:rPr>
          <w:sz w:val="20"/>
          <w:szCs w:val="20"/>
          <w:color w:val="auto"/>
        </w:rPr>
      </w:pPr>
    </w:p>
    <w:p>
      <w:pPr>
        <w:ind w:left="500" w:hanging="493"/>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Steps to Wind-up</w:t>
      </w:r>
      <w:r>
        <w:rPr>
          <w:rFonts w:ascii="Times New Roman" w:cs="Times New Roman" w:eastAsia="Times New Roman" w:hAnsi="Times New Roman"/>
          <w:sz w:val="18"/>
          <w:szCs w:val="18"/>
          <w:color w:val="auto"/>
        </w:rPr>
        <w:t>. The directors and shareholders of the Company have not taken any steps to appoint a liquidator of the Company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receiver has been appointed over any of the Company’s property or assets.</w:t>
      </w:r>
    </w:p>
    <w:p>
      <w:pPr>
        <w:spacing w:after="0" w:line="155" w:lineRule="exact"/>
        <w:rPr>
          <w:sz w:val="20"/>
          <w:szCs w:val="20"/>
          <w:color w:val="auto"/>
        </w:rPr>
      </w:pPr>
    </w:p>
    <w:p>
      <w:pPr>
        <w:jc w:val="both"/>
        <w:ind w:left="500" w:hanging="493"/>
        <w:spacing w:after="0" w:line="265"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Court Search. </w:t>
      </w:r>
      <w:r>
        <w:rPr>
          <w:rFonts w:ascii="Times New Roman" w:cs="Times New Roman" w:eastAsia="Times New Roman" w:hAnsi="Times New Roman"/>
          <w:sz w:val="18"/>
          <w:szCs w:val="18"/>
          <w:color w:val="auto"/>
        </w:rPr>
        <w:t>The Court Register examined by us for the period from the date of incorporation of the Company to the Court Search Date via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Court’s Digital System on the Court Search Date, constitutes a complete record of the proceedings for such period before the Grand Court of the Cayman Islands.</w:t>
      </w:r>
    </w:p>
    <w:p>
      <w:pPr>
        <w:spacing w:after="0" w:line="169" w:lineRule="exact"/>
        <w:rPr>
          <w:sz w:val="20"/>
          <w:szCs w:val="20"/>
          <w:color w:val="auto"/>
        </w:rPr>
      </w:pPr>
    </w:p>
    <w:p>
      <w:pPr>
        <w:ind w:left="500" w:right="20" w:hanging="493"/>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Resolutions. </w:t>
      </w:r>
      <w:r>
        <w:rPr>
          <w:rFonts w:ascii="Times New Roman" w:cs="Times New Roman" w:eastAsia="Times New Roman" w:hAnsi="Times New Roman"/>
          <w:sz w:val="18"/>
          <w:szCs w:val="18"/>
          <w:color w:val="auto"/>
        </w:rPr>
        <w:t>The Resolutions have been duly executed by or on behalf of the directors, and the signatures and initials thereon are those of a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in whose name the Resolutions have been expressed to be signed. The Resolutions remain in full force and effect.</w:t>
      </w:r>
    </w:p>
    <w:p>
      <w:pPr>
        <w:spacing w:after="0" w:line="155" w:lineRule="exact"/>
        <w:rPr>
          <w:sz w:val="20"/>
          <w:szCs w:val="20"/>
          <w:color w:val="auto"/>
        </w:rPr>
      </w:pPr>
    </w:p>
    <w:p>
      <w:pPr>
        <w:ind w:left="500" w:hanging="493"/>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Unseen Documents. </w:t>
      </w:r>
      <w:r>
        <w:rPr>
          <w:rFonts w:ascii="Times New Roman" w:cs="Times New Roman" w:eastAsia="Times New Roman" w:hAnsi="Times New Roman"/>
          <w:sz w:val="18"/>
          <w:szCs w:val="18"/>
          <w:color w:val="auto"/>
        </w:rPr>
        <w:t>Save for the Documents provided to us there are no resolutions, agreements, documents or arrangements which materially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 or vary the transactions envisaged in the Registration Statement.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2" w:name="page13"/>
    <w:bookmarkEnd w:id="12"/>
    <w:p>
      <w:pPr>
        <w:ind w:left="5040"/>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Qualifications</w:t>
      </w:r>
    </w:p>
    <w:p>
      <w:pPr>
        <w:spacing w:after="0" w:line="216" w:lineRule="exact"/>
        <w:rPr>
          <w:sz w:val="20"/>
          <w:szCs w:val="20"/>
          <w:color w:val="auto"/>
        </w:rPr>
      </w:pPr>
    </w:p>
    <w:p>
      <w:pPr>
        <w:ind w:left="640" w:hanging="63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Statutes. </w:t>
      </w:r>
      <w:r>
        <w:rPr>
          <w:rFonts w:ascii="Times New Roman" w:cs="Times New Roman" w:eastAsia="Times New Roman" w:hAnsi="Times New Roman"/>
          <w:sz w:val="18"/>
          <w:szCs w:val="18"/>
          <w:color w:val="auto"/>
        </w:rPr>
        <w:t>We express no opinion in relation to provisions making reference to foreign statutes in the Registration Statement.</w:t>
      </w:r>
    </w:p>
    <w:p>
      <w:pPr>
        <w:spacing w:after="0" w:line="220" w:lineRule="exact"/>
        <w:rPr>
          <w:sz w:val="20"/>
          <w:szCs w:val="20"/>
          <w:color w:val="auto"/>
        </w:rPr>
      </w:pPr>
    </w:p>
    <w:p>
      <w:pPr>
        <w:jc w:val="both"/>
        <w:ind w:left="640" w:hanging="633"/>
        <w:spacing w:after="0" w:line="265"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Terms. </w:t>
      </w:r>
      <w:r>
        <w:rPr>
          <w:rFonts w:ascii="Times New Roman" w:cs="Times New Roman" w:eastAsia="Times New Roman" w:hAnsi="Times New Roman"/>
          <w:sz w:val="18"/>
          <w:szCs w:val="18"/>
          <w:color w:val="auto"/>
        </w:rPr>
        <w:t>Except as specifically stated herein, we make no comment with respect to any representations and warranties which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or with respect to the Company in any of the documents or instruments cited in this opinion or otherwise with respect to the commercial terms of the transactions the subject of this opinion.</w:t>
      </w:r>
    </w:p>
    <w:p>
      <w:pPr>
        <w:spacing w:after="0" w:line="169" w:lineRule="exact"/>
        <w:rPr>
          <w:sz w:val="20"/>
          <w:szCs w:val="20"/>
          <w:color w:val="auto"/>
        </w:rPr>
      </w:pPr>
    </w:p>
    <w:p>
      <w:pPr>
        <w:jc w:val="both"/>
        <w:ind w:left="640" w:hanging="633"/>
        <w:spacing w:after="0" w:line="259"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Meaning of Non-Assessable. </w:t>
      </w:r>
      <w:r>
        <w:rPr>
          <w:rFonts w:ascii="Times New Roman" w:cs="Times New Roman" w:eastAsia="Times New Roman" w:hAnsi="Times New Roman"/>
          <w:sz w:val="18"/>
          <w:szCs w:val="18"/>
          <w:color w:val="auto"/>
        </w:rPr>
        <w:t>In this opinion the phrase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non-assessable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the issuance of shares, that a shareholder shall not,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75" w:lineRule="exact"/>
        <w:rPr>
          <w:sz w:val="20"/>
          <w:szCs w:val="20"/>
          <w:color w:val="auto"/>
        </w:rPr>
      </w:pPr>
    </w:p>
    <w:p>
      <w:pPr>
        <w:ind w:left="640" w:hanging="633"/>
        <w:spacing w:after="0" w:line="28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Good Standing. </w:t>
      </w:r>
      <w:r>
        <w:rPr>
          <w:rFonts w:ascii="Times New Roman" w:cs="Times New Roman" w:eastAsia="Times New Roman" w:hAnsi="Times New Roman"/>
          <w:sz w:val="18"/>
          <w:szCs w:val="18"/>
          <w:color w:val="auto"/>
        </w:rPr>
        <w:t>The Company shall be deemed to be in good standing at any time if all fees (including annual filing fees) and penalties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have been paid and the Registrar of Companies in the Cayman Islands has no knowledge that the Company is in default under the Law.</w:t>
      </w:r>
    </w:p>
    <w:p>
      <w:pPr>
        <w:spacing w:after="0" w:line="155" w:lineRule="exact"/>
        <w:rPr>
          <w:sz w:val="20"/>
          <w:szCs w:val="20"/>
          <w:color w:val="auto"/>
        </w:rPr>
      </w:pPr>
    </w:p>
    <w:p>
      <w:pPr>
        <w:jc w:val="both"/>
        <w:ind w:left="640" w:hanging="633"/>
        <w:spacing w:after="0" w:line="269"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Court Search</w:t>
      </w:r>
      <w:r>
        <w:rPr>
          <w:rFonts w:ascii="Times New Roman" w:cs="Times New Roman" w:eastAsia="Times New Roman" w:hAnsi="Times New Roman"/>
          <w:sz w:val="17"/>
          <w:szCs w:val="17"/>
          <w:color w:val="auto"/>
        </w:rPr>
        <w:t>. The search of the Court Register has been undertaken on a digital system made available through the Grand Court of the Cayman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Islands (the </w:t>
      </w:r>
      <w:r>
        <w:rPr>
          <w:rFonts w:ascii="Times New Roman" w:cs="Times New Roman" w:eastAsia="Times New Roman" w:hAnsi="Times New Roman"/>
          <w:sz w:val="17"/>
          <w:szCs w:val="17"/>
          <w:b w:val="1"/>
          <w:bCs w:val="1"/>
          <w:i w:val="1"/>
          <w:iCs w:val="1"/>
          <w:color w:val="auto"/>
        </w:rPr>
        <w:t>Court’s Digital System</w:t>
      </w:r>
      <w:r>
        <w:rPr>
          <w:rFonts w:ascii="Times New Roman" w:cs="Times New Roman" w:eastAsia="Times New Roman" w:hAnsi="Times New Roman"/>
          <w:sz w:val="17"/>
          <w:szCs w:val="17"/>
          <w:color w:val="auto"/>
        </w:rPr>
        <w:t>), and through inadvertent errors or delays in updating such digital system (and/or the Court Register from which the digital information is drawn) may not constitute a complete record of all proceedings as at the Court Search Date and in particular may omit details of very recent filings. The search of the Court Register would not reveal, amongst other things, any writ, originating summons, originating motion, petition (including any winding-up petition), counterclaim or third party notice (</w:t>
      </w:r>
      <w:r>
        <w:rPr>
          <w:rFonts w:ascii="Times New Roman" w:cs="Times New Roman" w:eastAsia="Times New Roman" w:hAnsi="Times New Roman"/>
          <w:sz w:val="17"/>
          <w:szCs w:val="17"/>
          <w:b w:val="1"/>
          <w:bCs w:val="1"/>
          <w:i w:val="1"/>
          <w:iCs w:val="1"/>
          <w:color w:val="auto"/>
        </w:rPr>
        <w:t>Originating Process</w:t>
      </w:r>
      <w:r>
        <w:rPr>
          <w:rFonts w:ascii="Times New Roman" w:cs="Times New Roman" w:eastAsia="Times New Roman" w:hAnsi="Times New Roman"/>
          <w:sz w:val="17"/>
          <w:szCs w:val="17"/>
          <w:color w:val="auto"/>
        </w:rPr>
        <w:t>) filed with the Grand Court of the Cayman Islands which, pursuant to the rules of the Grand Court of the Cayman Islands or best practice of the Clerk of the Courts’ office, should have been entered in the Court Register but was not in fact entered in the Court Register (properly or at all), or any Originating Process which has been placed under seal or anonymised (whether by order of the Court or pursuant to the practice of the Clerk of the Courts’ office).</w:t>
      </w:r>
    </w:p>
    <w:p>
      <w:pPr>
        <w:spacing w:after="0" w:line="171" w:lineRule="exact"/>
        <w:rPr>
          <w:sz w:val="20"/>
          <w:szCs w:val="20"/>
          <w:color w:val="auto"/>
        </w:rPr>
      </w:pPr>
    </w:p>
    <w:p>
      <w:pPr>
        <w:ind w:left="640" w:hanging="633"/>
        <w:spacing w:after="0" w:line="28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Economic Substance</w:t>
      </w:r>
      <w:r>
        <w:rPr>
          <w:rFonts w:ascii="Times New Roman" w:cs="Times New Roman" w:eastAsia="Times New Roman" w:hAnsi="Times New Roman"/>
          <w:sz w:val="18"/>
          <w:szCs w:val="18"/>
          <w:color w:val="auto"/>
        </w:rPr>
        <w:t>. We have undertaken no enquiry and express no view as to the compliance of the Company with the International Tax Co-operation (Economic Substance) Act (Revised).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Annex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Certificate</w:t>
      </w:r>
    </w:p>
    <w:p>
      <w:pPr>
        <w:spacing w:after="0" w:line="2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31" w:lineRule="exact"/>
        <w:rPr>
          <w:sz w:val="20"/>
          <w:szCs w:val="20"/>
          <w:color w:val="auto"/>
        </w:rPr>
      </w:pPr>
    </w:p>
    <w:p>
      <w:pPr>
        <w:ind w:left="4580"/>
        <w:spacing w:after="0" w:line="206" w:lineRule="exact"/>
        <w:rPr>
          <w:sz w:val="20"/>
          <w:szCs w:val="20"/>
          <w:color w:val="auto"/>
        </w:rPr>
      </w:pPr>
      <w:r>
        <w:rPr>
          <w:rFonts w:ascii="SimSun" w:cs="SimSun" w:eastAsia="SimSun" w:hAnsi="SimSun"/>
          <w:sz w:val="18"/>
          <w:szCs w:val="18"/>
          <w:color w:val="auto"/>
        </w:rPr>
        <w:t>宝盛传媒集团控股有限公司</w:t>
      </w:r>
    </w:p>
    <w:p>
      <w:pPr>
        <w:spacing w:after="0" w:line="1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incorporated in the Cayman Islands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No. 345894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CERTIFICATE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This certificate is given by the undersigned in his/her capacity as a duly authorised director of the Company to Harney Westwood &amp; Riegels in connection with a legal opinion in relation to the Company (the </w:t>
      </w:r>
      <w:r>
        <w:rPr>
          <w:rFonts w:ascii="Times New Roman" w:cs="Times New Roman" w:eastAsia="Times New Roman" w:hAnsi="Times New Roman"/>
          <w:sz w:val="18"/>
          <w:szCs w:val="18"/>
          <w:b w:val="1"/>
          <w:bCs w:val="1"/>
          <w:i w:val="1"/>
          <w:iCs w:val="1"/>
          <w:color w:val="auto"/>
        </w:rPr>
        <w:t>Legal Opinion</w:t>
      </w:r>
      <w:r>
        <w:rPr>
          <w:rFonts w:ascii="Times New Roman" w:cs="Times New Roman" w:eastAsia="Times New Roman" w:hAnsi="Times New Roman"/>
          <w:sz w:val="18"/>
          <w:szCs w:val="18"/>
          <w:color w:val="auto"/>
        </w:rPr>
        <w:t>). Capitalised terms used in this certificate have the meaning given to them in the Legal Opinion.</w:t>
      </w:r>
    </w:p>
    <w:p>
      <w:pPr>
        <w:spacing w:after="0" w:line="177" w:lineRule="exact"/>
        <w:rPr>
          <w:sz w:val="20"/>
          <w:szCs w:val="20"/>
          <w:color w:val="auto"/>
        </w:rPr>
      </w:pPr>
    </w:p>
    <w:p>
      <w:pPr>
        <w:ind w:left="640" w:hanging="63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Harney Westwood &amp; Riegels may rely on the statements made in this certificate as a basis for the Legal Opinion.</w:t>
      </w:r>
    </w:p>
    <w:p>
      <w:pPr>
        <w:spacing w:after="0" w:line="220" w:lineRule="exact"/>
        <w:rPr>
          <w:sz w:val="20"/>
          <w:szCs w:val="20"/>
          <w:color w:val="auto"/>
        </w:rPr>
      </w:pPr>
    </w:p>
    <w:p>
      <w:pPr>
        <w:ind w:left="640" w:hanging="633"/>
        <w:spacing w:after="0" w:line="277"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undersigned, am a director of the Company duly authorised to issue this certificate. Under the constitutional documents of the Company, the business and affairs of the Company are conducted by the board of directors of the Company.</w:t>
      </w:r>
    </w:p>
    <w:p>
      <w:pPr>
        <w:spacing w:after="0" w:line="163" w:lineRule="exact"/>
        <w:rPr>
          <w:sz w:val="20"/>
          <w:szCs w:val="20"/>
          <w:color w:val="auto"/>
        </w:rPr>
      </w:pPr>
    </w:p>
    <w:p>
      <w:pPr>
        <w:ind w:left="640" w:hanging="633"/>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undersigned, confirm in relation to the Company that:</w:t>
      </w:r>
    </w:p>
    <w:p>
      <w:pPr>
        <w:spacing w:after="0" w:line="220" w:lineRule="exact"/>
        <w:rPr>
          <w:rFonts w:ascii="Times New Roman" w:cs="Times New Roman" w:eastAsia="Times New Roman" w:hAnsi="Times New Roman"/>
          <w:sz w:val="18"/>
          <w:szCs w:val="18"/>
          <w:color w:val="auto"/>
        </w:rPr>
      </w:pPr>
    </w:p>
    <w:p>
      <w:pPr>
        <w:jc w:val="both"/>
        <w:ind w:left="1260" w:hanging="612"/>
        <w:spacing w:after="0" w:line="255" w:lineRule="auto"/>
        <w:tabs>
          <w:tab w:leader="none" w:pos="12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memorandum and articles of association of the Company adopted by a special resolution of the Company passed on 20 July 2020 and effective on 10 February 2021, which were subsequently amended by the annual general meeting of the shareholders of the Company held on 28 April 2022, the annual general meeting of the shareholders of the Company held on 6 March 2023, and the extraordinary general meeting of the shareholders of the Company held on 28 September 2023, respectively, remain in full force and effect and are otherwise unamended;</w:t>
      </w:r>
    </w:p>
    <w:p>
      <w:pPr>
        <w:spacing w:after="0" w:line="182" w:lineRule="exact"/>
        <w:rPr>
          <w:rFonts w:ascii="Times New Roman" w:cs="Times New Roman" w:eastAsia="Times New Roman" w:hAnsi="Times New Roman"/>
          <w:sz w:val="18"/>
          <w:szCs w:val="18"/>
          <w:color w:val="auto"/>
        </w:rPr>
      </w:pPr>
    </w:p>
    <w:p>
      <w:pPr>
        <w:jc w:val="both"/>
        <w:ind w:left="1260" w:hanging="612"/>
        <w:spacing w:after="0" w:line="262" w:lineRule="auto"/>
        <w:tabs>
          <w:tab w:leader="none" w:pos="12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were executed by all the directors in the manner prescribed in the articles of association of the Company, the signatures and initials thereon are those of a person or persons in whose name the resolutions have been expressed to be signed, are in full force and effect at the date hereof and have not been amended, varied or revoked in any respect; and</w:t>
      </w:r>
    </w:p>
    <w:p>
      <w:pPr>
        <w:spacing w:after="0" w:line="177" w:lineRule="exact"/>
        <w:rPr>
          <w:rFonts w:ascii="Times New Roman" w:cs="Times New Roman" w:eastAsia="Times New Roman" w:hAnsi="Times New Roman"/>
          <w:sz w:val="18"/>
          <w:szCs w:val="18"/>
          <w:color w:val="auto"/>
        </w:rPr>
      </w:pPr>
    </w:p>
    <w:p>
      <w:pPr>
        <w:ind w:left="1260" w:hanging="612"/>
        <w:spacing w:after="0" w:line="277" w:lineRule="auto"/>
        <w:tabs>
          <w:tab w:leader="none" w:pos="12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contractual or other prohibition (other than as arising under Cayman Islands law) binding on the Company prohibiting it from allotting and issuing the Shares or otherwise performing its obligations under the Registration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assume that all of the information in this certificate remains true and correct unless and until you are notified otherwise in writing.</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Jiang Lina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06/16/2026</w:t>
            </w:r>
          </w:p>
        </w:tc>
      </w:tr>
      <w:tr>
        <w:trPr>
          <w:trHeight w:val="202"/>
        </w:trPr>
        <w:tc>
          <w:tcPr>
            <w:tcW w:w="20" w:type="dxa"/>
            <w:vAlign w:val="bottom"/>
          </w:tcPr>
          <w:p>
            <w:pPr>
              <w:spacing w:after="0"/>
              <w:rPr>
                <w:sz w:val="17"/>
                <w:szCs w:val="17"/>
                <w:color w:val="auto"/>
              </w:rPr>
            </w:pPr>
          </w:p>
        </w:tc>
        <w:tc>
          <w:tcPr>
            <w:tcW w:w="550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Name: Jiang Lina</w:t>
            </w:r>
          </w:p>
        </w:tc>
        <w:tc>
          <w:tcPr>
            <w:tcW w:w="220" w:type="dxa"/>
            <w:vAlign w:val="bottom"/>
          </w:tcPr>
          <w:p>
            <w:pPr>
              <w:spacing w:after="0"/>
              <w:rPr>
                <w:sz w:val="17"/>
                <w:szCs w:val="17"/>
                <w:color w:val="auto"/>
              </w:rPr>
            </w:pPr>
          </w:p>
        </w:tc>
        <w:tc>
          <w:tcPr>
            <w:tcW w:w="550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Date</w:t>
            </w:r>
          </w:p>
        </w:tc>
      </w:tr>
      <w:tr>
        <w:trPr>
          <w:trHeight w:val="23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641"/>
        </w:trPr>
        <w:tc>
          <w:tcPr>
            <w:tcW w:w="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2"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Share Incentive Plan</w:t>
      </w:r>
    </w:p>
    <w:p>
      <w:pPr>
        <w:spacing w:after="0" w:line="220" w:lineRule="exact"/>
        <w:rPr>
          <w:sz w:val="20"/>
          <w:szCs w:val="20"/>
          <w:color w:val="auto"/>
        </w:rPr>
      </w:pPr>
    </w:p>
    <w:p>
      <w:pPr>
        <w:jc w:val="both"/>
        <w:ind w:firstLine="7"/>
        <w:spacing w:after="0" w:line="265" w:lineRule="auto"/>
        <w:tabs>
          <w:tab w:leader="none" w:pos="191"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Purposes of this Plan</w:t>
      </w:r>
      <w:r>
        <w:rPr>
          <w:rFonts w:ascii="Times New Roman" w:cs="Times New Roman" w:eastAsia="Times New Roman" w:hAnsi="Times New Roman"/>
          <w:sz w:val="18"/>
          <w:szCs w:val="18"/>
          <w:color w:val="auto"/>
        </w:rPr>
        <w:t>. The purposes of this Plan are to attract and retain the best available personnel, to provide additional incentives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and to promote the success of the Company’s and the Related Entities’ business. For the avoidance of doubt, this Plan does not intend to provide incentive to and shall not be applicable to any other person.</w:t>
      </w:r>
    </w:p>
    <w:p>
      <w:pPr>
        <w:spacing w:after="0" w:line="169" w:lineRule="exact"/>
        <w:rPr>
          <w:rFonts w:ascii="Times New Roman" w:cs="Times New Roman" w:eastAsia="Times New Roman" w:hAnsi="Times New Roman"/>
          <w:sz w:val="18"/>
          <w:szCs w:val="18"/>
          <w:b w:val="1"/>
          <w:bCs w:val="1"/>
          <w:color w:val="auto"/>
        </w:rPr>
      </w:pPr>
    </w:p>
    <w:p>
      <w:pPr>
        <w:jc w:val="both"/>
        <w:ind w:firstLine="7"/>
        <w:spacing w:after="0" w:line="265" w:lineRule="auto"/>
        <w:tabs>
          <w:tab w:leader="none" w:pos="191"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The following definitions shall apply as used herein and in the individual Award Agreements except as defined otherwise in an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In the event a term is separately defined in an individual Award Agreement, such definition shall supersede the definition contained in this Section.</w:t>
      </w:r>
    </w:p>
    <w:p>
      <w:pPr>
        <w:spacing w:after="0" w:line="169" w:lineRule="exact"/>
        <w:rPr>
          <w:rFonts w:ascii="Times New Roman" w:cs="Times New Roman" w:eastAsia="Times New Roman" w:hAnsi="Times New Roman"/>
          <w:sz w:val="18"/>
          <w:szCs w:val="18"/>
          <w:b w:val="1"/>
          <w:bCs w:val="1"/>
          <w:color w:val="auto"/>
        </w:rPr>
      </w:pPr>
    </w:p>
    <w:p>
      <w:pPr>
        <w:jc w:val="both"/>
        <w:ind w:left="960" w:hanging="312"/>
        <w:spacing w:after="0" w:line="265"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one or more committees appointed by the Board or another committee (within its delegated authority) to administer all or certain aspects of this Plan. Any such committee shall be comprised solely of one or more directors or such number of directors as may be required under Applicable Laws.</w:t>
      </w:r>
    </w:p>
    <w:p>
      <w:pPr>
        <w:spacing w:after="0" w:line="169" w:lineRule="exact"/>
        <w:rPr>
          <w:rFonts w:ascii="Times New Roman" w:cs="Times New Roman" w:eastAsia="Times New Roman" w:hAnsi="Times New Roman"/>
          <w:sz w:val="18"/>
          <w:szCs w:val="18"/>
          <w:color w:val="auto"/>
        </w:rPr>
      </w:pPr>
    </w:p>
    <w:p>
      <w:pPr>
        <w:jc w:val="both"/>
        <w:ind w:left="960" w:hanging="312"/>
        <w:spacing w:after="0" w:line="265"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requirements relating to this Plan and the Awards under applicable laws, regulations, rules, federal securities laws, state corporate and securities laws, the rules of any applicable stock exchange or national market system, and the laws, regulations, orders or rules of any jurisdiction applicable to the Awards granted to residents therein or the Grantees receiving such Awards.</w:t>
      </w:r>
    </w:p>
    <w:p>
      <w:pPr>
        <w:spacing w:after="0" w:line="169" w:lineRule="exact"/>
        <w:rPr>
          <w:rFonts w:ascii="Times New Roman" w:cs="Times New Roman" w:eastAsia="Times New Roman" w:hAnsi="Times New Roman"/>
          <w:sz w:val="18"/>
          <w:szCs w:val="18"/>
          <w:color w:val="auto"/>
        </w:rPr>
      </w:pPr>
    </w:p>
    <w:p>
      <w:pPr>
        <w:jc w:val="both"/>
        <w:ind w:left="960" w:hanging="312"/>
        <w:spacing w:after="0" w:line="275" w:lineRule="auto"/>
        <w:tabs>
          <w:tab w:leader="none" w:pos="9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Assumed</w:t>
      </w:r>
      <w:r>
        <w:rPr>
          <w:rFonts w:ascii="Times New Roman" w:cs="Times New Roman" w:eastAsia="Times New Roman" w:hAnsi="Times New Roman"/>
          <w:sz w:val="17"/>
          <w:szCs w:val="17"/>
          <w:color w:val="auto"/>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162" w:lineRule="exact"/>
        <w:rPr>
          <w:rFonts w:ascii="Times New Roman" w:cs="Times New Roman" w:eastAsia="Times New Roman" w:hAnsi="Times New Roman"/>
          <w:sz w:val="17"/>
          <w:szCs w:val="17"/>
          <w:color w:val="auto"/>
        </w:rPr>
      </w:pPr>
    </w:p>
    <w:p>
      <w:pPr>
        <w:ind w:left="960" w:hanging="312"/>
        <w:spacing w:after="0"/>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the grant of an Option, the direct issuance of Shares or any other right or benefit under this Plan.</w:t>
      </w:r>
    </w:p>
    <w:p>
      <w:pPr>
        <w:spacing w:after="0" w:line="220" w:lineRule="exact"/>
        <w:rPr>
          <w:rFonts w:ascii="Times New Roman" w:cs="Times New Roman" w:eastAsia="Times New Roman" w:hAnsi="Times New Roman"/>
          <w:sz w:val="18"/>
          <w:szCs w:val="18"/>
          <w:color w:val="auto"/>
        </w:rPr>
      </w:pPr>
    </w:p>
    <w:p>
      <w:pPr>
        <w:ind w:left="960" w:hanging="312"/>
        <w:spacing w:after="0" w:line="282"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or electronic agreement evidencing the grant of an Award executed or digitally accepted by the Company and the Grantee, including any amendments thereto.</w:t>
      </w:r>
    </w:p>
    <w:p>
      <w:pPr>
        <w:spacing w:after="0" w:line="154"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0" w:lineRule="exact"/>
        <w:rPr>
          <w:rFonts w:ascii="Times New Roman" w:cs="Times New Roman" w:eastAsia="Times New Roman" w:hAnsi="Times New Roman"/>
          <w:sz w:val="18"/>
          <w:szCs w:val="18"/>
          <w:color w:val="auto"/>
        </w:rPr>
      </w:pPr>
    </w:p>
    <w:p>
      <w:pPr>
        <w:ind w:left="960" w:hanging="312"/>
        <w:spacing w:after="0" w:line="282"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Broker</w:t>
      </w:r>
      <w:r>
        <w:rPr>
          <w:rFonts w:ascii="Times New Roman" w:cs="Times New Roman" w:eastAsia="Times New Roman" w:hAnsi="Times New Roman"/>
          <w:sz w:val="18"/>
          <w:szCs w:val="18"/>
          <w:color w:val="auto"/>
        </w:rPr>
        <w:t>” means a licensed securities broker or other financial institution engaged by the Company or an ESOP Platform to facilitate the exercise of Awards, the sale of Shares, or other transactions contemplated by this Plan.</w:t>
      </w:r>
    </w:p>
    <w:p>
      <w:pPr>
        <w:spacing w:after="0" w:line="154" w:lineRule="exact"/>
        <w:rPr>
          <w:rFonts w:ascii="Times New Roman" w:cs="Times New Roman" w:eastAsia="Times New Roman" w:hAnsi="Times New Roman"/>
          <w:sz w:val="18"/>
          <w:szCs w:val="18"/>
          <w:color w:val="auto"/>
        </w:rPr>
      </w:pPr>
    </w:p>
    <w:p>
      <w:pPr>
        <w:jc w:val="both"/>
        <w:ind w:left="960" w:hanging="312"/>
        <w:spacing w:after="0" w:line="250"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Event</w:t>
      </w:r>
      <w:r>
        <w:rPr>
          <w:rFonts w:ascii="Times New Roman" w:cs="Times New Roman" w:eastAsia="Times New Roman" w:hAnsi="Times New Roman"/>
          <w:sz w:val="18"/>
          <w:szCs w:val="18"/>
          <w:color w:val="auto"/>
        </w:rPr>
        <w:t>” means, the Grantee’s: (i) negligence in performing, or refusal to perform, any major duties to the Company or any Related Entity (as stated in the agreement between the Grantee and the Company or any Related Entity, or reasonably assigned by the Company or such Related Entity based on the Grantee’s position), or material violation of any code of conduct, rules, regulations, or policies of the Company or any Related Entity, (ii) performance of any act or failure to perform any act in bad faith and to the detriment of the Company or a Related Entity (economical or reputational), (iii) dishonesty or commitment in an act of theft, embezzlement, fraud, or a breach of trust, (iv) any intentional misconduct or material breach of any labor contract (employment agreement), non-disclosure obligation, non-competition obligation, non-solicitation obligation, code of conducts, employee handbook or other agreement between the Grantee and the Company or any Related Entity, (v) leakage of the Company’s trade secrets (including without limitation operational and technical information), (vi) breach of a fiduciary duty, or commission of a crime (other than minor traffic violations or similar offenses), (vii) material violation of any Applicable Laws or securities laws, (viii) any intentional act in a manner detrimental to the reputation, business operation, assets, or market image of the Company or any Related Entity, (ix) where the Grantee establishes employment relationship with a second employer while Continuous Service is not yet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424180</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6" w:name="page17"/>
    <w:bookmarkEnd w:id="16"/>
    <w:p>
      <w:pPr>
        <w:ind w:left="312" w:hanging="312"/>
        <w:spacing w:after="0" w:line="232" w:lineRule="exact"/>
        <w:tabs>
          <w:tab w:leader="none" w:pos="31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means Baosheng Media Group Holdings Limited </w:t>
      </w:r>
      <w:r>
        <w:rPr>
          <w:rFonts w:ascii="SimSun" w:cs="SimSun" w:eastAsia="SimSun" w:hAnsi="SimSun"/>
          <w:sz w:val="17"/>
          <w:szCs w:val="17"/>
          <w:color w:val="auto"/>
        </w:rPr>
        <w:t>宝盛传媒集团控股有限公司</w:t>
      </w:r>
      <w:r>
        <w:rPr>
          <w:rFonts w:ascii="Times New Roman" w:cs="Times New Roman" w:eastAsia="Times New Roman" w:hAnsi="Times New Roman"/>
          <w:sz w:val="17"/>
          <w:szCs w:val="17"/>
          <w:color w:val="auto"/>
        </w:rPr>
        <w:t>, an exempted company incorporated with limited liability under the laws of the Cayman Islands or any successor corporation that adopts this Plan in connection with a Corporate Transaction.</w:t>
      </w:r>
    </w:p>
    <w:p>
      <w:pPr>
        <w:spacing w:after="0" w:line="191" w:lineRule="exact"/>
        <w:rPr>
          <w:rFonts w:ascii="Times New Roman" w:cs="Times New Roman" w:eastAsia="Times New Roman" w:hAnsi="Times New Roman"/>
          <w:sz w:val="17"/>
          <w:szCs w:val="17"/>
          <w:color w:val="auto"/>
        </w:rPr>
      </w:pPr>
    </w:p>
    <w:p>
      <w:pPr>
        <w:jc w:val="both"/>
        <w:ind w:left="312" w:hanging="312"/>
        <w:spacing w:after="0" w:line="265" w:lineRule="auto"/>
        <w:tabs>
          <w:tab w:leader="none" w:pos="3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person (other than an Employee or a Director, solely with respect to rendering services in such person’s capacity as an Employee or Director) who is engaged by the Company or any Related Entity to render consulting or advisory services to the Company or such Related Entity.</w:t>
      </w:r>
    </w:p>
    <w:p>
      <w:pPr>
        <w:spacing w:after="0" w:line="169" w:lineRule="exact"/>
        <w:rPr>
          <w:rFonts w:ascii="Times New Roman" w:cs="Times New Roman" w:eastAsia="Times New Roman" w:hAnsi="Times New Roman"/>
          <w:sz w:val="18"/>
          <w:szCs w:val="18"/>
          <w:color w:val="auto"/>
        </w:rPr>
      </w:pPr>
    </w:p>
    <w:p>
      <w:pPr>
        <w:jc w:val="both"/>
        <w:ind w:left="312" w:hanging="312"/>
        <w:spacing w:after="0" w:line="251" w:lineRule="auto"/>
        <w:tabs>
          <w:tab w:leader="none" w:pos="3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Continuous Service</w:t>
      </w:r>
      <w:r>
        <w:rPr>
          <w:rFonts w:ascii="Times New Roman" w:cs="Times New Roman" w:eastAsia="Times New Roman" w:hAnsi="Times New Roman"/>
          <w:sz w:val="18"/>
          <w:szCs w:val="18"/>
          <w:color w:val="auto"/>
        </w:rPr>
        <w:t>” means that the provision of services to the Company or a Related Entity in any capacity of a full-time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upon an actual termination of Continuous Service, if there has been a change in the entity for which the Grantee provides services, or upon the entity for which the Grantee provides services ceasing to be a Related Entity. Continuous Service shall not be considered interrupted in the case of (i) any approved leave of absence, (ii) transfers among the Company, any Subsidiary, or any successor, in any capacity of Employee, Director or Consultant, or (iii) any change in status as long as the individual remains in the service of the Company or a Subsidiary in any capacity of Employee, Director or Consultant (except as otherwise provided in the Award Agreement). An approved leave of absence shall include sick leave or any other authorized personal leave.</w:t>
      </w:r>
    </w:p>
    <w:p>
      <w:pPr>
        <w:spacing w:after="0" w:line="183" w:lineRule="exact"/>
        <w:rPr>
          <w:rFonts w:ascii="Times New Roman" w:cs="Times New Roman" w:eastAsia="Times New Roman" w:hAnsi="Times New Roman"/>
          <w:sz w:val="18"/>
          <w:szCs w:val="18"/>
          <w:color w:val="auto"/>
        </w:rPr>
      </w:pPr>
    </w:p>
    <w:p>
      <w:pPr>
        <w:jc w:val="both"/>
        <w:ind w:left="312" w:hanging="312"/>
        <w:spacing w:after="0" w:line="256" w:lineRule="auto"/>
        <w:tabs>
          <w:tab w:leader="none" w:pos="3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of a given Person means the power or authority, whether exercised or not, to direct the business, management and policies of such Person, directly or indirectly, whether through the ownership of voting securities, by contract or otherwise; provided, that such power or authority shall conclusively be presumed to exist upon possession of beneficial ownership or power to direct the vote of more than fifty percent (50%) of the votes entitled to be cast at a meeting of the members or shareholders of such Person or power to control the composition of a majority of the board of directors of such Person.</w:t>
      </w:r>
    </w:p>
    <w:p>
      <w:pPr>
        <w:spacing w:after="0" w:line="17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means (as determined by the Administrator acting reasonably) any of the following transactions:</w:t>
      </w:r>
    </w:p>
    <w:p>
      <w:pPr>
        <w:spacing w:after="0" w:line="224" w:lineRule="exact"/>
        <w:rPr>
          <w:rFonts w:ascii="Times New Roman" w:cs="Times New Roman" w:eastAsia="Times New Roman" w:hAnsi="Times New Roman"/>
          <w:sz w:val="18"/>
          <w:szCs w:val="18"/>
          <w:color w:val="auto"/>
        </w:rPr>
      </w:pPr>
    </w:p>
    <w:p>
      <w:pPr>
        <w:jc w:val="both"/>
        <w:ind w:left="772" w:hanging="451"/>
        <w:spacing w:after="0" w:line="255" w:lineRule="auto"/>
        <w:tabs>
          <w:tab w:leader="none" w:pos="7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amalgamation, consolidation or other business combination of the Company with or into any Person, in which the Company is not the surviving entity, or any other transaction or series of transactions, as a result of which the shareholders of the Company immediately prior to such transaction or series of transactions will cease to own a majority of the voting power of the surviving entity immediately after consummation of such transaction or series of transactions, except for a transaction the principal purpose of which is to change the state in which the Company is incorporated;</w:t>
      </w:r>
    </w:p>
    <w:p>
      <w:pPr>
        <w:spacing w:after="0" w:line="182" w:lineRule="exact"/>
        <w:rPr>
          <w:rFonts w:ascii="Times New Roman" w:cs="Times New Roman" w:eastAsia="Times New Roman" w:hAnsi="Times New Roman"/>
          <w:sz w:val="18"/>
          <w:szCs w:val="18"/>
          <w:color w:val="auto"/>
        </w:rPr>
      </w:pPr>
    </w:p>
    <w:p>
      <w:pPr>
        <w:ind w:left="772" w:hanging="451"/>
        <w:spacing w:after="0"/>
        <w:tabs>
          <w:tab w:leader="none" w:pos="7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exclusive license or other disposition of all or substantially all of the assets of the Company and its Subsidiaries;</w:t>
      </w:r>
    </w:p>
    <w:p>
      <w:pPr>
        <w:spacing w:after="0" w:line="220" w:lineRule="exact"/>
        <w:rPr>
          <w:rFonts w:ascii="Times New Roman" w:cs="Times New Roman" w:eastAsia="Times New Roman" w:hAnsi="Times New Roman"/>
          <w:sz w:val="18"/>
          <w:szCs w:val="18"/>
          <w:color w:val="auto"/>
        </w:rPr>
      </w:pPr>
    </w:p>
    <w:p>
      <w:pPr>
        <w:ind w:left="772" w:hanging="451"/>
        <w:spacing w:after="0"/>
        <w:tabs>
          <w:tab w:leader="none" w:pos="7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liquidation or dissolution of the Company;</w:t>
      </w:r>
    </w:p>
    <w:p>
      <w:pPr>
        <w:spacing w:after="0" w:line="220" w:lineRule="exact"/>
        <w:rPr>
          <w:rFonts w:ascii="Times New Roman" w:cs="Times New Roman" w:eastAsia="Times New Roman" w:hAnsi="Times New Roman"/>
          <w:sz w:val="18"/>
          <w:szCs w:val="18"/>
          <w:color w:val="auto"/>
        </w:rPr>
      </w:pPr>
    </w:p>
    <w:p>
      <w:pPr>
        <w:jc w:val="both"/>
        <w:ind w:left="772" w:hanging="451"/>
        <w:spacing w:after="0" w:line="270" w:lineRule="auto"/>
        <w:tabs>
          <w:tab w:leader="none" w:pos="772"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reverse merger or series of related transactions culminating in a reverse merger (including, but not limited to, a tender offer followed by a reverse merger) in which the Company is the surviving entity but (A) the Shares issued and outstanding immediately prior to such merger are converted or exchanged by virtue of the merger into other property, whether in the form of securities, cash or otherwise, or</w:t>
      </w:r>
    </w:p>
    <w:p>
      <w:pPr>
        <w:jc w:val="both"/>
        <w:ind w:left="772" w:firstLine="3"/>
        <w:spacing w:after="0" w:line="250" w:lineRule="auto"/>
        <w:tabs>
          <w:tab w:leader="none" w:pos="1079"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but excluding any such transaction or series of related transactions that the Administrator determines shall not be a Corporate Transaction;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419100</wp:posOffset>
            </wp:positionV>
            <wp:extent cx="71335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905" w:right="339" w:bottom="1440" w:gutter="0" w:footer="0" w:header="0"/>
        </w:sectPr>
      </w:pPr>
    </w:p>
    <w:bookmarkStart w:id="17" w:name="page18"/>
    <w:bookmarkEnd w:id="17"/>
    <w:p>
      <w:pPr>
        <w:jc w:val="both"/>
        <w:ind w:left="772" w:hanging="451"/>
        <w:spacing w:after="0" w:line="257" w:lineRule="auto"/>
        <w:tabs>
          <w:tab w:leader="none" w:pos="77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 a single or series of related transactions by any Person or related group of Persons (other than the Company or by a Company-sponsored employee benefit plan) of beneficial ownership of securities possessing more than fifty percent (50%) of the total combined voting power of the Company’s outstanding securities, but excluding any such transaction or series of related transactions that the Administrator determines shall not be a Corporate Transaction.</w:t>
      </w:r>
    </w:p>
    <w:p>
      <w:pPr>
        <w:spacing w:after="0" w:line="17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 or the board of directors of any Related Entity.</w:t>
      </w:r>
    </w:p>
    <w:p>
      <w:pPr>
        <w:spacing w:after="0" w:line="220" w:lineRule="exact"/>
        <w:rPr>
          <w:rFonts w:ascii="Times New Roman" w:cs="Times New Roman" w:eastAsia="Times New Roman" w:hAnsi="Times New Roman"/>
          <w:sz w:val="18"/>
          <w:szCs w:val="18"/>
          <w:color w:val="auto"/>
        </w:rPr>
      </w:pPr>
    </w:p>
    <w:p>
      <w:pPr>
        <w:jc w:val="both"/>
        <w:ind w:left="312" w:hanging="312"/>
        <w:spacing w:after="0" w:line="259" w:lineRule="auto"/>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person, including a Director, who is in the employment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 or the Related Entity.</w:t>
      </w:r>
    </w:p>
    <w:p>
      <w:pPr>
        <w:spacing w:after="0" w:line="175" w:lineRule="exact"/>
        <w:rPr>
          <w:rFonts w:ascii="Times New Roman" w:cs="Times New Roman" w:eastAsia="Times New Roman" w:hAnsi="Times New Roman"/>
          <w:sz w:val="18"/>
          <w:szCs w:val="18"/>
          <w:color w:val="auto"/>
        </w:rPr>
      </w:pPr>
    </w:p>
    <w:p>
      <w:pPr>
        <w:jc w:val="both"/>
        <w:ind w:left="312" w:hanging="312"/>
        <w:spacing w:after="0" w:line="265" w:lineRule="auto"/>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ESOP Platform</w:t>
      </w:r>
      <w:r>
        <w:rPr>
          <w:rFonts w:ascii="Times New Roman" w:cs="Times New Roman" w:eastAsia="Times New Roman" w:hAnsi="Times New Roman"/>
          <w:sz w:val="18"/>
          <w:szCs w:val="18"/>
          <w:color w:val="auto"/>
        </w:rPr>
        <w:t>” means a third-party online platform or service provider engaged by the Company to administer and manage the Share Incentive Plan, including but not limited to, granting Awards, facilitating exercises, tracking vesting schedules, and managing share issuance and related transactions.</w:t>
      </w:r>
    </w:p>
    <w:p>
      <w:pPr>
        <w:spacing w:after="0" w:line="169" w:lineRule="exact"/>
        <w:rPr>
          <w:rFonts w:ascii="Times New Roman" w:cs="Times New Roman" w:eastAsia="Times New Roman" w:hAnsi="Times New Roman"/>
          <w:sz w:val="18"/>
          <w:szCs w:val="18"/>
          <w:color w:val="auto"/>
        </w:rPr>
      </w:pPr>
    </w:p>
    <w:p>
      <w:pPr>
        <w:ind w:left="312" w:hanging="312"/>
        <w:spacing w:after="0" w:line="282" w:lineRule="auto"/>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Window</w:t>
      </w:r>
      <w:r>
        <w:rPr>
          <w:rFonts w:ascii="Times New Roman" w:cs="Times New Roman" w:eastAsia="Times New Roman" w:hAnsi="Times New Roman"/>
          <w:sz w:val="18"/>
          <w:szCs w:val="18"/>
          <w:color w:val="auto"/>
        </w:rPr>
        <w:t>” means such period of time the Administrator shall determine in his sole discretion, with reasonable advance notice to Grantees.</w:t>
      </w:r>
    </w:p>
    <w:p>
      <w:pPr>
        <w:spacing w:after="0" w:line="154"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means an Employee, Director or Consultant who receives an Award under this Plan.</w:t>
      </w:r>
    </w:p>
    <w:p>
      <w:pPr>
        <w:spacing w:after="0" w:line="220"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M&amp;A</w:t>
      </w:r>
      <w:r>
        <w:rPr>
          <w:rFonts w:ascii="Times New Roman" w:cs="Times New Roman" w:eastAsia="Times New Roman" w:hAnsi="Times New Roman"/>
          <w:sz w:val="18"/>
          <w:szCs w:val="18"/>
          <w:color w:val="auto"/>
        </w:rPr>
        <w:t>” means the currently effective memorandum and articles of association of the Company, as amended from time to time.</w:t>
      </w:r>
    </w:p>
    <w:p>
      <w:pPr>
        <w:spacing w:after="0" w:line="220"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option to purchase Shares pursuant to an Award Agreement granted under this Plan.</w:t>
      </w:r>
    </w:p>
    <w:p>
      <w:pPr>
        <w:spacing w:after="0" w:line="220" w:lineRule="exact"/>
        <w:rPr>
          <w:rFonts w:ascii="Times New Roman" w:cs="Times New Roman" w:eastAsia="Times New Roman" w:hAnsi="Times New Roman"/>
          <w:sz w:val="18"/>
          <w:szCs w:val="18"/>
          <w:color w:val="auto"/>
        </w:rPr>
      </w:pPr>
    </w:p>
    <w:p>
      <w:pPr>
        <w:jc w:val="both"/>
        <w:ind w:left="312" w:hanging="312"/>
        <w:spacing w:after="0" w:line="259" w:lineRule="auto"/>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any company (other than the Company) in an unbroken chain of companies ending with the Company, if each of the companies (other than the Company) owns or Controls stock possessing 50% or more of the total combined voting power of all classes of stock in one of the other companies in such chain. A company that attains the status of a Parent on a date after the adoption of this Plan shall be considered a Parent commencing as of such date.</w:t>
      </w:r>
    </w:p>
    <w:p>
      <w:pPr>
        <w:spacing w:after="0" w:line="175" w:lineRule="exact"/>
        <w:rPr>
          <w:rFonts w:ascii="Times New Roman" w:cs="Times New Roman" w:eastAsia="Times New Roman" w:hAnsi="Times New Roman"/>
          <w:sz w:val="18"/>
          <w:szCs w:val="18"/>
          <w:color w:val="auto"/>
        </w:rPr>
      </w:pPr>
    </w:p>
    <w:p>
      <w:pPr>
        <w:jc w:val="both"/>
        <w:ind w:left="312" w:hanging="312"/>
        <w:spacing w:after="0" w:line="265" w:lineRule="auto"/>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partnership, limited liability company, firm, joint venture, estate, trust, unincorporated organization, association, enterprise, institution, public benefit corporation, entity or governmental or regulatory authority or other entity of any kind or nature.</w:t>
      </w:r>
    </w:p>
    <w:p>
      <w:pPr>
        <w:spacing w:after="0" w:line="169"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2026 Share Incentive Plan.</w:t>
      </w:r>
    </w:p>
    <w:p>
      <w:pPr>
        <w:spacing w:after="0" w:line="220" w:lineRule="exact"/>
        <w:rPr>
          <w:rFonts w:ascii="Times New Roman" w:cs="Times New Roman" w:eastAsia="Times New Roman" w:hAnsi="Times New Roman"/>
          <w:sz w:val="18"/>
          <w:szCs w:val="18"/>
          <w:color w:val="auto"/>
        </w:rPr>
      </w:pPr>
    </w:p>
    <w:p>
      <w:pPr>
        <w:ind w:left="312" w:hanging="312"/>
        <w:spacing w:after="0" w:line="282" w:lineRule="auto"/>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Date</w:t>
      </w:r>
      <w:r>
        <w:rPr>
          <w:rFonts w:ascii="Times New Roman" w:cs="Times New Roman" w:eastAsia="Times New Roman" w:hAnsi="Times New Roman"/>
          <w:sz w:val="18"/>
          <w:szCs w:val="18"/>
          <w:color w:val="auto"/>
        </w:rPr>
        <w:t>” means the date on which a registration statement on Form S-8 (or any successor form) covering the Shares issuable under this Plan becomes effective under the Securities Act of 1933, as amended.</w:t>
      </w:r>
    </w:p>
    <w:p>
      <w:pPr>
        <w:spacing w:after="0" w:line="154"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Entity</w:t>
      </w:r>
      <w:r>
        <w:rPr>
          <w:rFonts w:ascii="Times New Roman" w:cs="Times New Roman" w:eastAsia="Times New Roman" w:hAnsi="Times New Roman"/>
          <w:sz w:val="18"/>
          <w:szCs w:val="18"/>
          <w:color w:val="auto"/>
        </w:rPr>
        <w:t>” means any Subsidiary of the Company.</w:t>
      </w:r>
    </w:p>
    <w:p>
      <w:pPr>
        <w:spacing w:after="0" w:line="220" w:lineRule="exact"/>
        <w:rPr>
          <w:rFonts w:ascii="Times New Roman" w:cs="Times New Roman" w:eastAsia="Times New Roman" w:hAnsi="Times New Roman"/>
          <w:sz w:val="18"/>
          <w:szCs w:val="18"/>
          <w:color w:val="auto"/>
        </w:rPr>
      </w:pPr>
    </w:p>
    <w:p>
      <w:pPr>
        <w:jc w:val="both"/>
        <w:ind w:left="312" w:hanging="312"/>
        <w:spacing w:after="0" w:line="256" w:lineRule="auto"/>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w:t>
      </w:r>
      <w:r>
        <w:rPr>
          <w:rFonts w:ascii="Times New Roman" w:cs="Times New Roman" w:eastAsia="Times New Roman" w:hAnsi="Times New Roman"/>
          <w:sz w:val="18"/>
          <w:szCs w:val="18"/>
          <w:color w:val="auto"/>
        </w:rPr>
        <w:t>” means that pursuant to a Corporate Transaction the Award is replaced with a comparable share or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415925</wp:posOffset>
            </wp:positionV>
            <wp:extent cx="71335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6" w:right="339" w:bottom="1440" w:gutter="0" w:footer="0" w:header="0"/>
        </w:sectPr>
      </w:pPr>
    </w:p>
    <w:bookmarkStart w:id="18" w:name="page19"/>
    <w:bookmarkEnd w:id="18"/>
    <w:p>
      <w:pPr>
        <w:ind w:left="953" w:hanging="312"/>
        <w:spacing w:after="0"/>
        <w:tabs>
          <w:tab w:leader="none" w:pos="95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the ordinary shares of a par value of US$0.0096 each in the share capital of the Company.</w:t>
      </w:r>
    </w:p>
    <w:p>
      <w:pPr>
        <w:spacing w:after="0" w:line="220" w:lineRule="exact"/>
        <w:rPr>
          <w:rFonts w:ascii="Times New Roman" w:cs="Times New Roman" w:eastAsia="Times New Roman" w:hAnsi="Times New Roman"/>
          <w:sz w:val="18"/>
          <w:szCs w:val="18"/>
          <w:color w:val="auto"/>
        </w:rPr>
      </w:pPr>
    </w:p>
    <w:p>
      <w:pPr>
        <w:ind w:left="953" w:hanging="312"/>
        <w:spacing w:after="0" w:line="282" w:lineRule="auto"/>
        <w:tabs>
          <w:tab w:leader="none" w:pos="95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 Transaction</w:t>
      </w:r>
      <w:r>
        <w:rPr>
          <w:rFonts w:ascii="Times New Roman" w:cs="Times New Roman" w:eastAsia="Times New Roman" w:hAnsi="Times New Roman"/>
          <w:sz w:val="18"/>
          <w:szCs w:val="18"/>
          <w:color w:val="auto"/>
        </w:rPr>
        <w:t>” means a distribution by the Company to its shareholders of all or any portion of the securities of any Subsidiary of the Company.</w:t>
      </w:r>
    </w:p>
    <w:p>
      <w:pPr>
        <w:spacing w:after="0" w:line="154" w:lineRule="exact"/>
        <w:rPr>
          <w:rFonts w:ascii="Times New Roman" w:cs="Times New Roman" w:eastAsia="Times New Roman" w:hAnsi="Times New Roman"/>
          <w:sz w:val="18"/>
          <w:szCs w:val="18"/>
          <w:color w:val="auto"/>
        </w:rPr>
      </w:pPr>
    </w:p>
    <w:p>
      <w:pPr>
        <w:jc w:val="both"/>
        <w:ind w:left="953" w:hanging="312"/>
        <w:spacing w:after="0" w:line="254" w:lineRule="auto"/>
        <w:tabs>
          <w:tab w:leader="none" w:pos="95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 specific entity, (i) any entity (x) more than fifty percent (50%) of whose shares or other interests entitled to vote in the election of directors or (y) more than a fifty percent (50%) interests in whose profits or capital, are owned or Controlled directly or indirectly by the subject entity or through one (1) or more Subsidiaries of the subject entity; (ii) any entity whose assets, or portions thereof, are consolidated with the net earnings of the subject entity and are recorded on the books of the subject entity for financial reporting purposes in accordance with U.S. GAAP; or (iii) any entity with respect to which the subject entity has the power to otherwise direct the business and policies of that entity directly or indirectly through another Subsidiary.</w:t>
      </w:r>
    </w:p>
    <w:p>
      <w:pPr>
        <w:spacing w:after="0" w:line="181" w:lineRule="exact"/>
        <w:rPr>
          <w:rFonts w:ascii="Times New Roman" w:cs="Times New Roman" w:eastAsia="Times New Roman" w:hAnsi="Times New Roman"/>
          <w:sz w:val="18"/>
          <w:szCs w:val="18"/>
          <w:color w:val="auto"/>
        </w:rPr>
      </w:pPr>
    </w:p>
    <w:p>
      <w:pPr>
        <w:ind w:left="173" w:hanging="173"/>
        <w:spacing w:after="0"/>
        <w:tabs>
          <w:tab w:leader="none" w:pos="173"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this Plan</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jc w:val="both"/>
        <w:ind w:left="953" w:hanging="312"/>
        <w:spacing w:after="0" w:line="262" w:lineRule="auto"/>
        <w:tabs>
          <w:tab w:leader="none" w:pos="95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pursuant to the Awards under this Plan shall be authorized, but unissued, or reacquired Shares. Subject to the provisions of Section 9 below, the maximum aggregate number of Shares that may be issued pursuant to all Awards is 5,300,000 Shares (proportionally adjusted to reflect any share dividends, share splits, or similar transactions).</w:t>
      </w:r>
    </w:p>
    <w:p>
      <w:pPr>
        <w:spacing w:after="0" w:line="177" w:lineRule="exact"/>
        <w:rPr>
          <w:rFonts w:ascii="Times New Roman" w:cs="Times New Roman" w:eastAsia="Times New Roman" w:hAnsi="Times New Roman"/>
          <w:sz w:val="18"/>
          <w:szCs w:val="18"/>
          <w:color w:val="auto"/>
        </w:rPr>
      </w:pPr>
    </w:p>
    <w:p>
      <w:pPr>
        <w:jc w:val="both"/>
        <w:ind w:left="953" w:hanging="312"/>
        <w:spacing w:after="0" w:line="251" w:lineRule="auto"/>
        <w:tabs>
          <w:tab w:leader="none" w:pos="95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this Plan. Shares that actually have been issued under this Plan pursuant to an Award shall not be returned to this Plan and shall not become available for future issuance under this Plan, except that if unvested Shares are forfeited, or repurchased by the Company, such Shares shall become available for future grant under this Plan. To the extent not prohibited by the Applicable Law and the listing requirements of the applicable stock exchange or national market system on which the Shares are traded, any Shares covered by an Award which are surrendered (i) in payment of the Award exercise or purchase price or (ii) in satisfaction of tax withholding obligations incident to the exercise of an Award shall be deemed not to have been issued for purposes of determining the maximum number of Shares which may be issued pursuant to all Awards under this Plan, unless otherwise determined by the Administrator.</w:t>
      </w:r>
    </w:p>
    <w:p>
      <w:pPr>
        <w:spacing w:after="0" w:line="185" w:lineRule="exact"/>
        <w:rPr>
          <w:rFonts w:ascii="Times New Roman" w:cs="Times New Roman" w:eastAsia="Times New Roman" w:hAnsi="Times New Roman"/>
          <w:sz w:val="18"/>
          <w:szCs w:val="18"/>
          <w:color w:val="auto"/>
        </w:rPr>
      </w:pPr>
    </w:p>
    <w:p>
      <w:pPr>
        <w:ind w:left="173" w:hanging="173"/>
        <w:spacing w:after="0"/>
        <w:tabs>
          <w:tab w:leader="none" w:pos="173"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 of this Plan</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ind w:left="953" w:hanging="312"/>
        <w:spacing w:after="0"/>
        <w:tabs>
          <w:tab w:leader="none" w:pos="95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Administrator.</w:t>
      </w:r>
    </w:p>
    <w:p>
      <w:pPr>
        <w:spacing w:after="0" w:line="220" w:lineRule="exact"/>
        <w:rPr>
          <w:rFonts w:ascii="Times New Roman" w:cs="Times New Roman" w:eastAsia="Times New Roman" w:hAnsi="Times New Roman"/>
          <w:sz w:val="18"/>
          <w:szCs w:val="18"/>
          <w:color w:val="auto"/>
        </w:rPr>
      </w:pPr>
    </w:p>
    <w:p>
      <w:pPr>
        <w:jc w:val="both"/>
        <w:ind w:left="1413" w:hanging="451"/>
        <w:spacing w:after="0" w:line="257" w:lineRule="auto"/>
        <w:tabs>
          <w:tab w:leader="none" w:pos="1413"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This Plan shall be administered by the Administrator. The Administrator may authorize one or more officers or directors of the Company to grant such Awards and may limit such authority as the Administrator determines from time to time. The Administrator may also engage and delegate certain administrative functions to an ESOP Platform or Broker, as deemed necessary or appropriate for the efficient operation of the Plan and consistent with Applicable Laws.</w:t>
      </w:r>
    </w:p>
    <w:p>
      <w:pPr>
        <w:spacing w:after="0" w:line="182" w:lineRule="exact"/>
        <w:rPr>
          <w:rFonts w:ascii="Times New Roman" w:cs="Times New Roman" w:eastAsia="Times New Roman" w:hAnsi="Times New Roman"/>
          <w:sz w:val="18"/>
          <w:szCs w:val="18"/>
          <w:color w:val="auto"/>
        </w:rPr>
      </w:pPr>
    </w:p>
    <w:p>
      <w:pPr>
        <w:ind w:left="1413" w:hanging="451"/>
        <w:spacing w:after="0" w:line="277" w:lineRule="auto"/>
        <w:tabs>
          <w:tab w:leader="none" w:pos="1413"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Errors. In the event an Award is granted in a manner inconsistent with the provisions of this subsection (a), such Award shall be presumptively valid as of its grant date to the extent permitted by the Applicable Laws and approved by the Administrator.</w:t>
      </w:r>
    </w:p>
    <w:p>
      <w:pPr>
        <w:spacing w:after="0" w:line="163" w:lineRule="exact"/>
        <w:rPr>
          <w:rFonts w:ascii="Times New Roman" w:cs="Times New Roman" w:eastAsia="Times New Roman" w:hAnsi="Times New Roman"/>
          <w:sz w:val="18"/>
          <w:szCs w:val="18"/>
          <w:color w:val="auto"/>
        </w:rPr>
      </w:pPr>
    </w:p>
    <w:p>
      <w:pPr>
        <w:ind w:left="953" w:hanging="312"/>
        <w:spacing w:after="0" w:line="277" w:lineRule="auto"/>
        <w:tabs>
          <w:tab w:leader="none" w:pos="95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the Administrator. Subject to Applicable Laws and the provisions of this Plan (including any other powers given to the Administrator hereunder), the Administrator shall have the authority, in its discretion:</w:t>
      </w:r>
    </w:p>
    <w:p>
      <w:pPr>
        <w:spacing w:after="0" w:line="163" w:lineRule="exact"/>
        <w:rPr>
          <w:rFonts w:ascii="Times New Roman" w:cs="Times New Roman" w:eastAsia="Times New Roman" w:hAnsi="Times New Roman"/>
          <w:sz w:val="18"/>
          <w:szCs w:val="18"/>
          <w:color w:val="auto"/>
        </w:rPr>
      </w:pPr>
    </w:p>
    <w:p>
      <w:pPr>
        <w:ind w:left="1413" w:hanging="451"/>
        <w:spacing w:after="0"/>
        <w:tabs>
          <w:tab w:leader="none" w:pos="1413"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Directors and Consultants to whom Awards may be granted from time to time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440055</wp:posOffset>
            </wp:positionV>
            <wp:extent cx="71335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2" w:right="339" w:bottom="1440" w:gutter="0" w:footer="0" w:header="0"/>
        </w:sectPr>
      </w:pPr>
    </w:p>
    <w:bookmarkStart w:id="19" w:name="page20"/>
    <w:bookmarkEnd w:id="19"/>
    <w:p>
      <w:pPr>
        <w:ind w:left="1413" w:hanging="451"/>
        <w:spacing w:after="0"/>
        <w:tabs>
          <w:tab w:leader="none" w:pos="141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Awards are granted hereunder;</w:t>
      </w:r>
    </w:p>
    <w:p>
      <w:pPr>
        <w:spacing w:after="0" w:line="220" w:lineRule="exact"/>
        <w:rPr>
          <w:rFonts w:ascii="Times New Roman" w:cs="Times New Roman" w:eastAsia="Times New Roman" w:hAnsi="Times New Roman"/>
          <w:sz w:val="18"/>
          <w:szCs w:val="18"/>
          <w:color w:val="auto"/>
        </w:rPr>
      </w:pPr>
    </w:p>
    <w:p>
      <w:pPr>
        <w:ind w:left="1413" w:hanging="451"/>
        <w:spacing w:after="0" w:line="277" w:lineRule="auto"/>
        <w:tabs>
          <w:tab w:leader="none" w:pos="141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type or the number of Awards to be granted, the number of Shares or the amount of consideration to be covered by each Award granted hereunder;</w:t>
      </w:r>
    </w:p>
    <w:p>
      <w:pPr>
        <w:spacing w:after="0" w:line="163" w:lineRule="exact"/>
        <w:rPr>
          <w:rFonts w:ascii="Times New Roman" w:cs="Times New Roman" w:eastAsia="Times New Roman" w:hAnsi="Times New Roman"/>
          <w:sz w:val="18"/>
          <w:szCs w:val="18"/>
          <w:color w:val="auto"/>
        </w:rPr>
      </w:pPr>
    </w:p>
    <w:p>
      <w:pPr>
        <w:ind w:left="1413" w:right="20" w:hanging="451"/>
        <w:spacing w:after="0" w:line="277" w:lineRule="auto"/>
        <w:tabs>
          <w:tab w:leader="none" w:pos="141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this Plan, to amend terms of the Award Agreements, and to establish procedures for the electronic execution and management of Award Agreements through an ESOP Platform;</w:t>
      </w:r>
    </w:p>
    <w:p>
      <w:pPr>
        <w:spacing w:after="0" w:line="163" w:lineRule="exact"/>
        <w:rPr>
          <w:rFonts w:ascii="Times New Roman" w:cs="Times New Roman" w:eastAsia="Times New Roman" w:hAnsi="Times New Roman"/>
          <w:sz w:val="18"/>
          <w:szCs w:val="18"/>
          <w:color w:val="auto"/>
        </w:rPr>
      </w:pPr>
    </w:p>
    <w:p>
      <w:pPr>
        <w:ind w:left="1413" w:right="20" w:hanging="451"/>
        <w:spacing w:after="0" w:line="277" w:lineRule="auto"/>
        <w:tabs>
          <w:tab w:leader="none" w:pos="141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or alter the terms and conditions of any Award granted hereunder (including without limitation the vesting schedule and exercise price set forth in the relevant notice of Award or Award Agreement);</w:t>
      </w:r>
    </w:p>
    <w:p>
      <w:pPr>
        <w:spacing w:after="0" w:line="163" w:lineRule="exact"/>
        <w:rPr>
          <w:rFonts w:ascii="Times New Roman" w:cs="Times New Roman" w:eastAsia="Times New Roman" w:hAnsi="Times New Roman"/>
          <w:sz w:val="18"/>
          <w:szCs w:val="18"/>
          <w:color w:val="auto"/>
        </w:rPr>
      </w:pPr>
    </w:p>
    <w:p>
      <w:pPr>
        <w:ind w:left="1413" w:right="20" w:hanging="451"/>
        <w:spacing w:after="0" w:line="277" w:lineRule="auto"/>
        <w:tabs>
          <w:tab w:leader="none" w:pos="141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terms of any outstanding Award granted under this Plan, provided that any amendment that would adversely affect the Grantee’s rights under an outstanding Award in material aspects shall not be made without the Grantee’s written consent;</w:t>
      </w:r>
    </w:p>
    <w:p>
      <w:pPr>
        <w:spacing w:after="0" w:line="163" w:lineRule="exact"/>
        <w:rPr>
          <w:rFonts w:ascii="Times New Roman" w:cs="Times New Roman" w:eastAsia="Times New Roman" w:hAnsi="Times New Roman"/>
          <w:sz w:val="18"/>
          <w:szCs w:val="18"/>
          <w:color w:val="auto"/>
        </w:rPr>
      </w:pPr>
    </w:p>
    <w:p>
      <w:pPr>
        <w:ind w:left="1413" w:hanging="451"/>
        <w:spacing w:after="0" w:line="277" w:lineRule="auto"/>
        <w:tabs>
          <w:tab w:leader="none" w:pos="141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this Plan and Awards, including without limitation, any notice of Award or Award Agreement, granted pursuant to this Plan;</w:t>
      </w:r>
    </w:p>
    <w:p>
      <w:pPr>
        <w:spacing w:after="0" w:line="163" w:lineRule="exact"/>
        <w:rPr>
          <w:rFonts w:ascii="Times New Roman" w:cs="Times New Roman" w:eastAsia="Times New Roman" w:hAnsi="Times New Roman"/>
          <w:sz w:val="18"/>
          <w:szCs w:val="18"/>
          <w:color w:val="auto"/>
        </w:rPr>
      </w:pPr>
    </w:p>
    <w:p>
      <w:pPr>
        <w:ind w:left="1413" w:hanging="451"/>
        <w:spacing w:after="0" w:line="277" w:lineRule="auto"/>
        <w:tabs>
          <w:tab w:leader="none" w:pos="141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the Grantee to provide representation or evidence that any currency used to pay the exercise price of any Award was legally acquired and taken out of the jurisdiction in which the Grantee resides in accordance with the Applicable Laws;</w:t>
      </w:r>
    </w:p>
    <w:p>
      <w:pPr>
        <w:spacing w:after="0" w:line="163" w:lineRule="exact"/>
        <w:rPr>
          <w:rFonts w:ascii="Times New Roman" w:cs="Times New Roman" w:eastAsia="Times New Roman" w:hAnsi="Times New Roman"/>
          <w:sz w:val="18"/>
          <w:szCs w:val="18"/>
          <w:color w:val="auto"/>
        </w:rPr>
      </w:pPr>
    </w:p>
    <w:p>
      <w:pPr>
        <w:jc w:val="both"/>
        <w:ind w:left="1413" w:hanging="451"/>
        <w:spacing w:after="0" w:line="262" w:lineRule="auto"/>
        <w:tabs>
          <w:tab w:leader="none" w:pos="141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engage, appoint, and oversee any ESOP Platforms, Brokers, custodians, trustees, nominees or other third-party administrators or service providers and to grant the authority to perform such administrative functions as the Administrator deems appropriate, provided that such delegation is consistent with Applicable Laws and the terms of this Plan;</w:t>
      </w:r>
    </w:p>
    <w:p>
      <w:pPr>
        <w:spacing w:after="0" w:line="177" w:lineRule="exact"/>
        <w:rPr>
          <w:rFonts w:ascii="Times New Roman" w:cs="Times New Roman" w:eastAsia="Times New Roman" w:hAnsi="Times New Roman"/>
          <w:sz w:val="18"/>
          <w:szCs w:val="18"/>
          <w:color w:val="auto"/>
        </w:rPr>
      </w:pPr>
    </w:p>
    <w:p>
      <w:pPr>
        <w:ind w:left="1413" w:hanging="451"/>
        <w:spacing w:after="0" w:line="277" w:lineRule="auto"/>
        <w:tabs>
          <w:tab w:leader="none" w:pos="141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at what price to repurchase from the Grantee all or any portion of the Shares obtained by the Grantee upon exercise of any Awards; and</w:t>
      </w:r>
    </w:p>
    <w:p>
      <w:pPr>
        <w:spacing w:after="0" w:line="163" w:lineRule="exact"/>
        <w:rPr>
          <w:rFonts w:ascii="Times New Roman" w:cs="Times New Roman" w:eastAsia="Times New Roman" w:hAnsi="Times New Roman"/>
          <w:sz w:val="18"/>
          <w:szCs w:val="18"/>
          <w:color w:val="auto"/>
        </w:rPr>
      </w:pPr>
    </w:p>
    <w:p>
      <w:pPr>
        <w:ind w:left="1413" w:hanging="451"/>
        <w:spacing w:after="0"/>
        <w:tabs>
          <w:tab w:leader="none" w:pos="141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such other action, not inconsistent with the terms of this Plan and the Applicable Laws, as the Administrator deems appropriate.</w:t>
      </w:r>
    </w:p>
    <w:p>
      <w:pPr>
        <w:spacing w:after="0" w:line="220" w:lineRule="exact"/>
        <w:rPr>
          <w:rFonts w:ascii="Times New Roman" w:cs="Times New Roman" w:eastAsia="Times New Roman" w:hAnsi="Times New Roman"/>
          <w:sz w:val="18"/>
          <w:szCs w:val="18"/>
          <w:color w:val="auto"/>
        </w:rPr>
      </w:pPr>
    </w:p>
    <w:p>
      <w:pPr>
        <w:jc w:val="both"/>
        <w:ind w:left="953" w:hanging="312"/>
        <w:spacing w:after="0" w:line="250" w:lineRule="auto"/>
        <w:tabs>
          <w:tab w:leader="none" w:pos="95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In addition to such other rights of indemnification as they may have as members of the Board or Employees of the Company or a Related Entity, members of the Board and any Employees of the Company or a Related Entity to whom authority to act for the Board, the Administrator or the Company is delegated shall be defended and indemnified by the Company to the extent permitted by Applicable Laws and in the manner approved by the Administrator,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this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89" w:lineRule="exact"/>
        <w:rPr>
          <w:rFonts w:ascii="Times New Roman" w:cs="Times New Roman" w:eastAsia="Times New Roman" w:hAnsi="Times New Roman"/>
          <w:sz w:val="18"/>
          <w:szCs w:val="18"/>
          <w:color w:val="auto"/>
        </w:rPr>
      </w:pPr>
    </w:p>
    <w:p>
      <w:pPr>
        <w:ind w:left="-7" w:firstLine="7"/>
        <w:spacing w:after="0" w:line="282" w:lineRule="auto"/>
        <w:tabs>
          <w:tab w:leader="none" w:pos="17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color w:val="auto"/>
        </w:rPr>
        <w:t>. Awards may be granted to Employees, Directors and Consultants. An Employee, Director or Consultant who has been granted an Award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otherwise eligible, be granted additional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400685</wp:posOffset>
            </wp:positionV>
            <wp:extent cx="7133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20" w:name="page21"/>
    <w:bookmarkEnd w:id="20"/>
    <w:p>
      <w:pPr>
        <w:ind w:left="173" w:hanging="173"/>
        <w:spacing w:after="0"/>
        <w:tabs>
          <w:tab w:leader="none" w:pos="17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Terms and Conditions of Awards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jc w:val="both"/>
        <w:ind w:left="953" w:hanging="312"/>
        <w:spacing w:after="0" w:line="255" w:lineRule="auto"/>
        <w:tabs>
          <w:tab w:leader="none" w:pos="9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Types of Awards. The Administrator is authorized under this Plan to award any type of arrangement to an Employee, Director or Consultant that is not inconsistent with the provisions of this Plan and that by its terms involves or might involve (i) the issuance of an Option or any other similar right with a fixed or variable price of the Shares and with an exercise or conversion privilege related to the passage of time, the occurrence of one or more events, or the satisfaction of performance criteria or other conditions; or (ii) the issuance of Shares directly, either through immediate purchase of such Shares or as a bonus.</w:t>
      </w:r>
    </w:p>
    <w:p>
      <w:pPr>
        <w:spacing w:after="0" w:line="182" w:lineRule="exact"/>
        <w:rPr>
          <w:rFonts w:ascii="Times New Roman" w:cs="Times New Roman" w:eastAsia="Times New Roman" w:hAnsi="Times New Roman"/>
          <w:sz w:val="18"/>
          <w:szCs w:val="18"/>
          <w:color w:val="auto"/>
        </w:rPr>
      </w:pPr>
    </w:p>
    <w:p>
      <w:pPr>
        <w:ind w:left="953" w:hanging="312"/>
        <w:spacing w:after="0"/>
        <w:tabs>
          <w:tab w:leader="none" w:pos="9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Award. Each Award shall be designated in the Award Agreement.</w:t>
      </w:r>
    </w:p>
    <w:p>
      <w:pPr>
        <w:spacing w:after="0" w:line="220" w:lineRule="exact"/>
        <w:rPr>
          <w:rFonts w:ascii="Times New Roman" w:cs="Times New Roman" w:eastAsia="Times New Roman" w:hAnsi="Times New Roman"/>
          <w:sz w:val="18"/>
          <w:szCs w:val="18"/>
          <w:color w:val="auto"/>
        </w:rPr>
      </w:pPr>
    </w:p>
    <w:p>
      <w:pPr>
        <w:jc w:val="both"/>
        <w:ind w:left="953" w:hanging="312"/>
        <w:spacing w:after="0" w:line="255" w:lineRule="auto"/>
        <w:tabs>
          <w:tab w:leader="none" w:pos="9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of Award. Subject to the terms of this Plan, the Administrator shall determine the provisions, terms, and conditions of each Award including, but not limited to, the Award vesting schedule, forfeiture provisions, form of payment (cash, Shares, or other consideration) upon settlement of the Award, payment contingencies, and satisfaction of any performance criteria. Each Award shall be subject to the terms of an Award Agreement approved by the Administrator. The performance criteria may be applicable to the Company, Related Entities and/or any individual business units of the Company or any Related Entity.</w:t>
      </w:r>
    </w:p>
    <w:p>
      <w:pPr>
        <w:spacing w:after="0" w:line="182" w:lineRule="exact"/>
        <w:rPr>
          <w:rFonts w:ascii="Times New Roman" w:cs="Times New Roman" w:eastAsia="Times New Roman" w:hAnsi="Times New Roman"/>
          <w:sz w:val="18"/>
          <w:szCs w:val="18"/>
          <w:color w:val="auto"/>
        </w:rPr>
      </w:pPr>
    </w:p>
    <w:p>
      <w:pPr>
        <w:jc w:val="both"/>
        <w:ind w:left="953" w:hanging="312"/>
        <w:spacing w:after="0" w:line="257" w:lineRule="auto"/>
        <w:tabs>
          <w:tab w:leader="none" w:pos="9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Transactions. The Administrator may issue Awards under this Plan in settlement, assumption or substitution for, outstanding awards or obligations to grant future awards in connection with the Company or a Related Entity acquiring another entity, an interest in another entity or an additional interest in a Related Entity whether by merger, share purchase, asset purchase or other form of transaction.</w:t>
      </w:r>
    </w:p>
    <w:p>
      <w:pPr>
        <w:spacing w:after="0" w:line="182" w:lineRule="exact"/>
        <w:rPr>
          <w:rFonts w:ascii="Times New Roman" w:cs="Times New Roman" w:eastAsia="Times New Roman" w:hAnsi="Times New Roman"/>
          <w:sz w:val="18"/>
          <w:szCs w:val="18"/>
          <w:color w:val="auto"/>
        </w:rPr>
      </w:pPr>
    </w:p>
    <w:p>
      <w:pPr>
        <w:ind w:left="953" w:right="20" w:hanging="312"/>
        <w:spacing w:after="0" w:line="277" w:lineRule="auto"/>
        <w:tabs>
          <w:tab w:leader="none" w:pos="9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Programs. The Administrator may establish one or more separate programs under this Plan for the purpose of issuing particular forms of Awards to one or more classes of Grantees on such terms and conditions as determined by the Administrator from time to time.</w:t>
      </w:r>
    </w:p>
    <w:p>
      <w:pPr>
        <w:spacing w:after="0" w:line="163" w:lineRule="exact"/>
        <w:rPr>
          <w:rFonts w:ascii="Times New Roman" w:cs="Times New Roman" w:eastAsia="Times New Roman" w:hAnsi="Times New Roman"/>
          <w:sz w:val="18"/>
          <w:szCs w:val="18"/>
          <w:color w:val="auto"/>
        </w:rPr>
      </w:pPr>
    </w:p>
    <w:p>
      <w:pPr>
        <w:ind w:left="953" w:hanging="312"/>
        <w:spacing w:after="0"/>
        <w:tabs>
          <w:tab w:leader="none" w:pos="9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of Award. The term of each Award shall be the term stated in the Award Agreement.</w:t>
      </w:r>
    </w:p>
    <w:p>
      <w:pPr>
        <w:spacing w:after="0" w:line="220" w:lineRule="exact"/>
        <w:rPr>
          <w:rFonts w:ascii="Times New Roman" w:cs="Times New Roman" w:eastAsia="Times New Roman" w:hAnsi="Times New Roman"/>
          <w:sz w:val="18"/>
          <w:szCs w:val="18"/>
          <w:color w:val="auto"/>
        </w:rPr>
      </w:pPr>
    </w:p>
    <w:p>
      <w:pPr>
        <w:jc w:val="both"/>
        <w:ind w:left="953" w:hanging="312"/>
        <w:spacing w:after="0" w:line="262" w:lineRule="auto"/>
        <w:tabs>
          <w:tab w:leader="none" w:pos="9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Non-transferability of Award. The Grantee shall not transfer, sell, hypothecate, encumber or otherwise dispose of any Shares, any Award, or any right or interest under this Plan without first obtaining the prior written consent of the Company and complying with the provisions of any applicable provisions of the M&amp;A.</w:t>
      </w:r>
    </w:p>
    <w:p>
      <w:pPr>
        <w:spacing w:after="0" w:line="177" w:lineRule="exact"/>
        <w:rPr>
          <w:rFonts w:ascii="Times New Roman" w:cs="Times New Roman" w:eastAsia="Times New Roman" w:hAnsi="Times New Roman"/>
          <w:sz w:val="18"/>
          <w:szCs w:val="18"/>
          <w:color w:val="auto"/>
        </w:rPr>
      </w:pPr>
    </w:p>
    <w:p>
      <w:pPr>
        <w:ind w:left="953" w:hanging="312"/>
        <w:spacing w:after="0" w:line="277" w:lineRule="auto"/>
        <w:tabs>
          <w:tab w:leader="none" w:pos="9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of Granting Awards. The date of grant of an Award shall for all purposes be the date on which the Administrator makes the determination to grant such Award, or such other date as is determined by the Administrator.</w:t>
      </w:r>
    </w:p>
    <w:p>
      <w:pPr>
        <w:spacing w:after="0" w:line="159" w:lineRule="exact"/>
        <w:rPr>
          <w:rFonts w:ascii="Times New Roman" w:cs="Times New Roman" w:eastAsia="Times New Roman" w:hAnsi="Times New Roman"/>
          <w:sz w:val="18"/>
          <w:szCs w:val="18"/>
          <w:color w:val="auto"/>
        </w:rPr>
      </w:pPr>
    </w:p>
    <w:p>
      <w:pPr>
        <w:ind w:left="173" w:hanging="173"/>
        <w:spacing w:after="0"/>
        <w:tabs>
          <w:tab w:leader="none" w:pos="17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Exercise or Purchase Price, Consideration and Taxes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jc w:val="both"/>
        <w:ind w:left="953" w:hanging="312"/>
        <w:spacing w:after="0" w:line="257" w:lineRule="auto"/>
        <w:tabs>
          <w:tab w:leader="none" w:pos="9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Purchase Price. The exercise or purchase price, if any, for an Award shall be determined by the Administrator. 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 provided that the exercise or purchase price for the Shares shall be no less than the aggregate par value of such Shares.</w:t>
      </w:r>
    </w:p>
    <w:p>
      <w:pPr>
        <w:spacing w:after="0" w:line="182" w:lineRule="exact"/>
        <w:rPr>
          <w:rFonts w:ascii="Times New Roman" w:cs="Times New Roman" w:eastAsia="Times New Roman" w:hAnsi="Times New Roman"/>
          <w:sz w:val="18"/>
          <w:szCs w:val="18"/>
          <w:color w:val="auto"/>
        </w:rPr>
      </w:pPr>
    </w:p>
    <w:p>
      <w:pPr>
        <w:jc w:val="both"/>
        <w:ind w:left="953" w:hanging="312"/>
        <w:spacing w:after="0" w:line="262" w:lineRule="auto"/>
        <w:tabs>
          <w:tab w:leader="none" w:pos="9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Subject to Applicable Laws, the consideration to be paid for the Shares to be issued pursuant to an Award including the method of payment, shall be determined by the Administrator. In addition to any other types of consideration the Administrator may determine, the Administrator is authorized to accept as consideration for Shares issued pursuant to an Award the following:</w:t>
      </w:r>
    </w:p>
    <w:p>
      <w:pPr>
        <w:spacing w:after="0" w:line="177" w:lineRule="exact"/>
        <w:rPr>
          <w:rFonts w:ascii="Times New Roman" w:cs="Times New Roman" w:eastAsia="Times New Roman" w:hAnsi="Times New Roman"/>
          <w:sz w:val="18"/>
          <w:szCs w:val="18"/>
          <w:color w:val="auto"/>
        </w:rPr>
      </w:pPr>
    </w:p>
    <w:p>
      <w:pPr>
        <w:ind w:left="1413" w:hanging="451"/>
        <w:spacing w:after="0"/>
        <w:tabs>
          <w:tab w:leader="none" w:pos="1413"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0" w:lineRule="exact"/>
        <w:rPr>
          <w:rFonts w:ascii="Times New Roman" w:cs="Times New Roman" w:eastAsia="Times New Roman" w:hAnsi="Times New Roman"/>
          <w:sz w:val="18"/>
          <w:szCs w:val="18"/>
          <w:color w:val="auto"/>
        </w:rPr>
      </w:pPr>
    </w:p>
    <w:p>
      <w:pPr>
        <w:ind w:left="1413" w:hanging="451"/>
        <w:spacing w:after="0"/>
        <w:tabs>
          <w:tab w:leader="none" w:pos="1413"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0" w:lineRule="exact"/>
        <w:rPr>
          <w:rFonts w:ascii="Times New Roman" w:cs="Times New Roman" w:eastAsia="Times New Roman" w:hAnsi="Times New Roman"/>
          <w:sz w:val="18"/>
          <w:szCs w:val="18"/>
          <w:color w:val="auto"/>
        </w:rPr>
      </w:pPr>
    </w:p>
    <w:p>
      <w:pPr>
        <w:jc w:val="both"/>
        <w:ind w:left="1413" w:hanging="451"/>
        <w:spacing w:after="0" w:line="262" w:lineRule="auto"/>
        <w:tabs>
          <w:tab w:leader="none" w:pos="1413"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or purchase occurs on or after the Registration Date, or as otherwise permitted by the Administrator, surrender of Shares or delivery of a properly executed form of attestation of ownership of Shares as the Administrator may require which have a value on the date of surrender or attestation equal to the aggregate exercise price of the Shares as to which said Award shall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71335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2" w:right="339" w:bottom="1440" w:gutter="0" w:footer="0" w:header="0"/>
        </w:sectPr>
      </w:pPr>
    </w:p>
    <w:bookmarkStart w:id="21" w:name="page22"/>
    <w:bookmarkEnd w:id="21"/>
    <w:p>
      <w:pPr>
        <w:jc w:val="both"/>
        <w:ind w:left="1413" w:hanging="451"/>
        <w:spacing w:after="0" w:line="255" w:lineRule="auto"/>
        <w:tabs>
          <w:tab w:leader="none" w:pos="141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if the exercise occurs on or after the Registration Date,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 or</w:t>
      </w:r>
    </w:p>
    <w:p>
      <w:pPr>
        <w:spacing w:after="0" w:line="182" w:lineRule="exact"/>
        <w:rPr>
          <w:rFonts w:ascii="Times New Roman" w:cs="Times New Roman" w:eastAsia="Times New Roman" w:hAnsi="Times New Roman"/>
          <w:sz w:val="18"/>
          <w:szCs w:val="18"/>
          <w:color w:val="auto"/>
        </w:rPr>
      </w:pPr>
    </w:p>
    <w:p>
      <w:pPr>
        <w:ind w:left="1413" w:hanging="451"/>
        <w:spacing w:after="0"/>
        <w:tabs>
          <w:tab w:leader="none" w:pos="141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w:t>
      </w:r>
    </w:p>
    <w:p>
      <w:pPr>
        <w:spacing w:after="0" w:line="220" w:lineRule="exact"/>
        <w:rPr>
          <w:rFonts w:ascii="Times New Roman" w:cs="Times New Roman" w:eastAsia="Times New Roman" w:hAnsi="Times New Roman"/>
          <w:sz w:val="18"/>
          <w:szCs w:val="18"/>
          <w:color w:val="auto"/>
        </w:rPr>
      </w:pPr>
    </w:p>
    <w:p>
      <w:pPr>
        <w:jc w:val="both"/>
        <w:ind w:left="1413" w:hanging="451"/>
        <w:spacing w:after="0" w:line="262" w:lineRule="auto"/>
        <w:tabs>
          <w:tab w:leader="none" w:pos="141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at any time or from time to time, by adoption of or by amendment to the standard forms of Award Agreement described in Section 4(b)(iv), or by other means, grant Awards which do not permit all of the foregoing forms of consideration to be used in payment for the Shares or which otherwise restrict one or more forms of consideration.</w:t>
      </w:r>
    </w:p>
    <w:p>
      <w:pPr>
        <w:spacing w:after="0" w:line="177" w:lineRule="exact"/>
        <w:rPr>
          <w:rFonts w:ascii="Times New Roman" w:cs="Times New Roman" w:eastAsia="Times New Roman" w:hAnsi="Times New Roman"/>
          <w:sz w:val="18"/>
          <w:szCs w:val="18"/>
          <w:color w:val="auto"/>
        </w:rPr>
      </w:pPr>
    </w:p>
    <w:p>
      <w:pPr>
        <w:jc w:val="both"/>
        <w:ind w:left="953" w:hanging="312"/>
        <w:spacing w:after="0" w:line="255" w:lineRule="auto"/>
        <w:tabs>
          <w:tab w:leader="none" w:pos="95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No Shares shall be delivered under this Plan to any Grantee or other Person until such Grantee or other Person has made arrangements acceptable to the Administrator for the satisfaction of any income and employment tax withholding obligations under any Applicable Laws. The Grantee shall be responsible for all taxes associated with the receipt, vest, exercise, transfer and disposal of the Awards and the Shares. Upon exercise of an Award, the Company and/or the Related Entity which is an employer of the Grantee, broker or ESOP Platform shall have the right to withhold or collect from Grantee an amount sufficient to satisfy such tax obligations.</w:t>
      </w:r>
    </w:p>
    <w:p>
      <w:pPr>
        <w:spacing w:after="0" w:line="178" w:lineRule="exact"/>
        <w:rPr>
          <w:rFonts w:ascii="Times New Roman" w:cs="Times New Roman" w:eastAsia="Times New Roman" w:hAnsi="Times New Roman"/>
          <w:sz w:val="18"/>
          <w:szCs w:val="18"/>
          <w:color w:val="auto"/>
        </w:rPr>
      </w:pPr>
    </w:p>
    <w:p>
      <w:pPr>
        <w:ind w:left="173" w:hanging="173"/>
        <w:spacing w:after="0"/>
        <w:tabs>
          <w:tab w:leader="none" w:pos="17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Award</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ind w:left="953" w:hanging="312"/>
        <w:spacing w:after="0"/>
        <w:tabs>
          <w:tab w:leader="none" w:pos="95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 for Exercise; Rights as a Shareholder.</w:t>
      </w:r>
    </w:p>
    <w:p>
      <w:pPr>
        <w:spacing w:after="0" w:line="220" w:lineRule="exact"/>
        <w:rPr>
          <w:rFonts w:ascii="Times New Roman" w:cs="Times New Roman" w:eastAsia="Times New Roman" w:hAnsi="Times New Roman"/>
          <w:sz w:val="18"/>
          <w:szCs w:val="18"/>
          <w:color w:val="auto"/>
        </w:rPr>
      </w:pPr>
    </w:p>
    <w:p>
      <w:pPr>
        <w:jc w:val="both"/>
        <w:ind w:left="1413" w:hanging="451"/>
        <w:spacing w:after="0" w:line="262" w:lineRule="auto"/>
        <w:tabs>
          <w:tab w:leader="none" w:pos="1413"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granted hereunder shall be exercisable at such times and under such conditions as determined by the Administrator under the terms of this Plan and specified in the Award Agreement. Any Award granted hereunder that has been vested may be exercised only during an Exercise Window.</w:t>
      </w:r>
    </w:p>
    <w:p>
      <w:pPr>
        <w:spacing w:after="0" w:line="177" w:lineRule="exact"/>
        <w:rPr>
          <w:rFonts w:ascii="Times New Roman" w:cs="Times New Roman" w:eastAsia="Times New Roman" w:hAnsi="Times New Roman"/>
          <w:sz w:val="18"/>
          <w:szCs w:val="18"/>
          <w:color w:val="auto"/>
        </w:rPr>
      </w:pPr>
    </w:p>
    <w:p>
      <w:pPr>
        <w:jc w:val="both"/>
        <w:ind w:left="1413" w:hanging="451"/>
        <w:spacing w:after="0" w:line="257" w:lineRule="auto"/>
        <w:tabs>
          <w:tab w:leader="none" w:pos="1413"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shall be deemed to be exercised when written notice of such exercise has been given to the Company or the ESOP Platform, during an Exercise Window, in accordance with the terms of the Award by the Person entitled to exercise the Award and full payment for the Shares with respect to which the Award is exercised, including, to the extent selected, use of the broker-dealer sale and remittance procedure to pay the purchase price as provided in Section 7(b)(iv).</w:t>
      </w:r>
    </w:p>
    <w:p>
      <w:pPr>
        <w:spacing w:after="0" w:line="182" w:lineRule="exact"/>
        <w:rPr>
          <w:rFonts w:ascii="Times New Roman" w:cs="Times New Roman" w:eastAsia="Times New Roman" w:hAnsi="Times New Roman"/>
          <w:sz w:val="18"/>
          <w:szCs w:val="18"/>
          <w:color w:val="auto"/>
        </w:rPr>
      </w:pPr>
    </w:p>
    <w:p>
      <w:pPr>
        <w:ind w:left="953" w:right="20" w:hanging="312"/>
        <w:spacing w:after="0" w:line="308" w:lineRule="auto"/>
        <w:tabs>
          <w:tab w:leader="none" w:pos="953"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in Violation of Applicable Law. Notwithstanding the foregoing, regardless of whether an Award has otherwise become exercisable, the Award shall not be exercised if the Administrator (in its sole discretion) determines that an exercise would violate any Applicable Laws.</w:t>
      </w:r>
    </w:p>
    <w:p>
      <w:pPr>
        <w:spacing w:after="0" w:line="139" w:lineRule="exact"/>
        <w:rPr>
          <w:rFonts w:ascii="Times New Roman" w:cs="Times New Roman" w:eastAsia="Times New Roman" w:hAnsi="Times New Roman"/>
          <w:sz w:val="17"/>
          <w:szCs w:val="17"/>
          <w:color w:val="auto"/>
        </w:rPr>
      </w:pPr>
    </w:p>
    <w:p>
      <w:pPr>
        <w:ind w:left="953" w:hanging="312"/>
        <w:spacing w:after="0" w:line="277" w:lineRule="auto"/>
        <w:tabs>
          <w:tab w:leader="none" w:pos="95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Exercise. Notwithstanding the foregoing, regardless of whether an Award has become vested and exercisable, no Award may be exercised until after the Registration Date (subject to any further blackout/silence period as required by law).</w:t>
      </w:r>
    </w:p>
    <w:p>
      <w:pPr>
        <w:spacing w:after="0" w:line="159" w:lineRule="exact"/>
        <w:rPr>
          <w:rFonts w:ascii="Times New Roman" w:cs="Times New Roman" w:eastAsia="Times New Roman" w:hAnsi="Times New Roman"/>
          <w:sz w:val="18"/>
          <w:szCs w:val="18"/>
          <w:color w:val="auto"/>
        </w:rPr>
      </w:pPr>
    </w:p>
    <w:p>
      <w:pPr>
        <w:ind w:left="173" w:hanging="173"/>
        <w:spacing w:after="0"/>
        <w:tabs>
          <w:tab w:leader="none" w:pos="17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jc w:val="both"/>
        <w:ind w:left="953" w:hanging="312"/>
        <w:spacing w:after="0" w:line="262" w:lineRule="auto"/>
        <w:tabs>
          <w:tab w:leader="none" w:pos="95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shall not be issued pursuant to the exercise of an Award unless the exercise of such Award and the issuance and delivery of such Shares pursuant thereto shall comply with all Applicable Laws, the M&amp;A and the relevant Award Agreement, and shall be further subject to the approval of counsel for the Company with respect to such compliance, as may be required at the discretion of the Administrator.</w:t>
      </w:r>
    </w:p>
    <w:p>
      <w:pPr>
        <w:spacing w:after="0" w:line="177" w:lineRule="exact"/>
        <w:rPr>
          <w:rFonts w:ascii="Times New Roman" w:cs="Times New Roman" w:eastAsia="Times New Roman" w:hAnsi="Times New Roman"/>
          <w:sz w:val="18"/>
          <w:szCs w:val="18"/>
          <w:color w:val="auto"/>
        </w:rPr>
      </w:pPr>
    </w:p>
    <w:p>
      <w:pPr>
        <w:jc w:val="both"/>
        <w:ind w:left="953" w:hanging="312"/>
        <w:spacing w:after="0" w:line="257" w:lineRule="auto"/>
        <w:tabs>
          <w:tab w:leader="none" w:pos="95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as may be required at the discretion of the Administrator, such a representation is required by any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133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22" w:name="page23"/>
    <w:bookmarkEnd w:id="22"/>
    <w:p>
      <w:pPr>
        <w:jc w:val="both"/>
        <w:ind w:left="953" w:hanging="312"/>
        <w:spacing w:after="0" w:line="257" w:lineRule="auto"/>
        <w:tabs>
          <w:tab w:leader="none" w:pos="95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exercise of an Award, the applicable Award Agreement may require the Grantee to grant a power of attorney to the Board or any Person designated by the Board to exercise the voting rights with respect to the Shares and the Company may require the Person exercising such Award to acknowledge and agree to be bound by the provisions of the M&amp;A and other documents of the Company in relation to the Shares (if any, including any Investor Rights Agreement), as if the Grantee is a holder of Shares thereunder.</w:t>
      </w:r>
    </w:p>
    <w:p>
      <w:pPr>
        <w:spacing w:after="0" w:line="178" w:lineRule="exact"/>
        <w:rPr>
          <w:rFonts w:ascii="Times New Roman" w:cs="Times New Roman" w:eastAsia="Times New Roman" w:hAnsi="Times New Roman"/>
          <w:sz w:val="18"/>
          <w:szCs w:val="18"/>
          <w:color w:val="auto"/>
        </w:rPr>
      </w:pPr>
    </w:p>
    <w:p>
      <w:pPr>
        <w:ind w:left="273" w:hanging="273"/>
        <w:spacing w:after="0"/>
        <w:tabs>
          <w:tab w:leader="none" w:pos="273"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ind w:left="953" w:hanging="312"/>
        <w:spacing w:after="0"/>
        <w:tabs>
          <w:tab w:leader="none" w:pos="953"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termination of the Grantee’s Continuous Service for any reason, (i) all unvested Awards shall immediately terminate and be forfeited; and</w:t>
      </w:r>
    </w:p>
    <w:p>
      <w:pPr>
        <w:spacing w:after="0" w:line="37" w:lineRule="exact"/>
        <w:rPr>
          <w:rFonts w:ascii="Times New Roman" w:cs="Times New Roman" w:eastAsia="Times New Roman" w:hAnsi="Times New Roman"/>
          <w:sz w:val="17"/>
          <w:szCs w:val="17"/>
          <w:color w:val="auto"/>
        </w:rPr>
      </w:pPr>
    </w:p>
    <w:p>
      <w:pPr>
        <w:jc w:val="both"/>
        <w:ind w:left="953" w:firstLine="9"/>
        <w:spacing w:after="0" w:line="249" w:lineRule="auto"/>
        <w:tabs>
          <w:tab w:leader="none" w:pos="122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vested Options shall remain exercisable for a period of ninety (90) days following the date of such termination (or such longer period as the Administrator may determine in its discretion), after which any unexercised Options shall automatically terminate and be forfeited. Upon the occurrence of a Termination Event (whether or not the Grantee’s Continuous Service has terminated), all Awards held by the Grantee, whether vested or unvested, shall immediately terminate and be forfeited without any further action by the Company, and the Grantee shall have no further rights with respect to such Awards.</w:t>
      </w:r>
    </w:p>
    <w:p>
      <w:pPr>
        <w:spacing w:after="0" w:line="185" w:lineRule="exact"/>
        <w:rPr>
          <w:rFonts w:ascii="Times New Roman" w:cs="Times New Roman" w:eastAsia="Times New Roman" w:hAnsi="Times New Roman"/>
          <w:sz w:val="18"/>
          <w:szCs w:val="18"/>
          <w:color w:val="auto"/>
        </w:rPr>
      </w:pPr>
    </w:p>
    <w:p>
      <w:pPr>
        <w:jc w:val="both"/>
        <w:ind w:left="-7" w:firstLine="7"/>
        <w:spacing w:after="0" w:line="249" w:lineRule="auto"/>
        <w:tabs>
          <w:tab w:leader="none" w:pos="25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Upon Changes in Capitalization</w:t>
      </w:r>
      <w:r>
        <w:rPr>
          <w:rFonts w:ascii="Times New Roman" w:cs="Times New Roman" w:eastAsia="Times New Roman" w:hAnsi="Times New Roman"/>
          <w:sz w:val="18"/>
          <w:szCs w:val="18"/>
          <w:color w:val="auto"/>
        </w:rPr>
        <w:t>. Subject to any required action by the shareholders of the Company, the number of Shares covered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outstanding Award, the number of Shares which have been authorized for issuance under this Plan but as to which no Awards have yet been granted or which have been returned to this Plan, the exercise or purchase price of each such outstanding Award, the maximum number of Shares with respect to which Awards may be granted to any Grantee in any fiscal year of the Company, as well as any other terms that the Administrator determines require adjustment shall be proportionately adjusted for (i) any increase or decrease in the number of issued Shares resulting from a share split, reverse share split, share dividend, combination or reclassification of the Shares, or similar transaction affecting the Shares, (ii) any other increase or decrease in the number of issued Shares effected without receipt of consideration by the Company, or (iii) as the Administrator may determine in its discretion, any other transaction with respect to Shares including a corporate merger, consolidation, acquisition of property or equity, separation (including a spin-off or other distribution of shares or property), reorganization, liquidation (whether partial or complete) or any similar transaction; provided, however that conversion of any convertible securities of the Company shall not be deemed to have been “effected without receipt of consideration.” Such adjustment shall be made by the Administrator and its determination shall be final, binding and conclusive. Except as the Administrator determines, no issuance by the Company of shares of any class, or securities convertible into shares of any class, shall affect, and no adjustment by reason hereof shall be made with respect to, the number or price of Shares subject to an Award. In the event of a Spin-off Transaction, the Administrator may in its discretion make such adjustments and take such other action as it deems appropriate with respect to outstanding Awards under this Plan, including but not limited to: (i) adjustments to the number and kind of Shares, the exercise or purchase price per Share and the vesting periods of outstanding Awards, (ii) prohibit the exercise of Awards during certain periods of time prior to the consummation of the Spin-off Transaction, or (iii) the substitution, exchange or grant of Awards to purchase securities of the Subsidiary; provided that the Administrator shall not be obligated to make any such adjustments or take any such action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427355</wp:posOffset>
            </wp:positionV>
            <wp:extent cx="71335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23" w:name="page24"/>
    <w:bookmarkEnd w:id="23"/>
    <w:p>
      <w:pPr>
        <w:jc w:val="both"/>
        <w:ind w:left="-7" w:firstLine="7"/>
        <w:spacing w:after="0" w:line="259" w:lineRule="auto"/>
        <w:tabs>
          <w:tab w:leader="none" w:pos="27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Corporate Transactions</w:t>
      </w:r>
      <w:r>
        <w:rPr>
          <w:rFonts w:ascii="Times New Roman" w:cs="Times New Roman" w:eastAsia="Times New Roman" w:hAnsi="Times New Roman"/>
          <w:sz w:val="18"/>
          <w:szCs w:val="18"/>
          <w:color w:val="auto"/>
        </w:rPr>
        <w:t>. In the event of a Corporate Transaction, each Award can be, as determined by the Administrator, Assumed or Replaced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taking any action) immediately prior to the specified effective date of such Corporate Transaction. All outstanding Awards under this Plan shall terminate upon the consummation of such Corporate Transaction, provided however that, all such Awards shall not terminate to the extent they are Assumed or Replaced in connection with the Corporate Transaction.</w:t>
      </w:r>
    </w:p>
    <w:p>
      <w:pPr>
        <w:spacing w:after="0" w:line="175" w:lineRule="exact"/>
        <w:rPr>
          <w:rFonts w:ascii="Times New Roman" w:cs="Times New Roman" w:eastAsia="Times New Roman" w:hAnsi="Times New Roman"/>
          <w:sz w:val="18"/>
          <w:szCs w:val="18"/>
          <w:b w:val="1"/>
          <w:bCs w:val="1"/>
          <w:color w:val="auto"/>
        </w:rPr>
      </w:pPr>
    </w:p>
    <w:p>
      <w:pPr>
        <w:jc w:val="both"/>
        <w:ind w:left="-7" w:firstLine="7"/>
        <w:spacing w:after="0" w:line="265" w:lineRule="auto"/>
        <w:tabs>
          <w:tab w:leader="none" w:pos="27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 and Term of Plan</w:t>
      </w:r>
      <w:r>
        <w:rPr>
          <w:rFonts w:ascii="Times New Roman" w:cs="Times New Roman" w:eastAsia="Times New Roman" w:hAnsi="Times New Roman"/>
          <w:sz w:val="18"/>
          <w:szCs w:val="18"/>
          <w:color w:val="auto"/>
        </w:rPr>
        <w:t>. This Plan shall become effective upon its adoption by the Board or the Company’s shareholders or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by the Board or the Company’s shareholders when adopting this Plan. This Plan shall continue in effect for a term of ten (10) years after the date of adoption, unless sooner terminated. Subject to Applicable Laws, Awards may be granted under this Plan upon it becoming effective.</w:t>
      </w:r>
    </w:p>
    <w:p>
      <w:pPr>
        <w:spacing w:after="0" w:line="169" w:lineRule="exact"/>
        <w:rPr>
          <w:rFonts w:ascii="Times New Roman" w:cs="Times New Roman" w:eastAsia="Times New Roman" w:hAnsi="Times New Roman"/>
          <w:sz w:val="18"/>
          <w:szCs w:val="18"/>
          <w:b w:val="1"/>
          <w:bCs w:val="1"/>
          <w:color w:val="auto"/>
        </w:rPr>
      </w:pPr>
    </w:p>
    <w:p>
      <w:pPr>
        <w:ind w:left="273" w:hanging="273"/>
        <w:spacing w:after="0"/>
        <w:tabs>
          <w:tab w:leader="none" w:pos="27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Suspension or Termination of this Plan</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jc w:val="both"/>
        <w:ind w:left="953" w:hanging="312"/>
        <w:spacing w:after="0" w:line="262" w:lineRule="auto"/>
        <w:tabs>
          <w:tab w:leader="none" w:pos="95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amend (including extend the term of this Plan), suspend or terminate this Plan; provided, however, that no such amendment, suspension or termination shall be made without the approval of the Company’s shareholders to the extent such approval is required by the M&amp;A, the Applicable Laws or as otherwise determined by the board at the time of adoption of this Plan.</w:t>
      </w:r>
    </w:p>
    <w:p>
      <w:pPr>
        <w:spacing w:after="0" w:line="177" w:lineRule="exact"/>
        <w:rPr>
          <w:rFonts w:ascii="Times New Roman" w:cs="Times New Roman" w:eastAsia="Times New Roman" w:hAnsi="Times New Roman"/>
          <w:sz w:val="18"/>
          <w:szCs w:val="18"/>
          <w:color w:val="auto"/>
        </w:rPr>
      </w:pPr>
    </w:p>
    <w:p>
      <w:pPr>
        <w:ind w:left="953" w:hanging="312"/>
        <w:spacing w:after="0"/>
        <w:tabs>
          <w:tab w:leader="none" w:pos="95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granted during any suspension of this Plan or after termination of this Plan.</w:t>
      </w:r>
    </w:p>
    <w:p>
      <w:pPr>
        <w:spacing w:after="0" w:line="220" w:lineRule="exact"/>
        <w:rPr>
          <w:rFonts w:ascii="Times New Roman" w:cs="Times New Roman" w:eastAsia="Times New Roman" w:hAnsi="Times New Roman"/>
          <w:sz w:val="18"/>
          <w:szCs w:val="18"/>
          <w:color w:val="auto"/>
        </w:rPr>
      </w:pPr>
    </w:p>
    <w:p>
      <w:pPr>
        <w:ind w:left="953" w:hanging="312"/>
        <w:spacing w:after="0" w:line="277" w:lineRule="auto"/>
        <w:tabs>
          <w:tab w:leader="none" w:pos="95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Administrator in good faith, the suspension, amendment or termination of this Plan (including termination of this Plan under Section 12, above) shall not materially adversely affect any rights under Awards already granted to a Grantee.</w:t>
      </w:r>
    </w:p>
    <w:p>
      <w:pPr>
        <w:spacing w:after="0" w:line="159" w:lineRule="exact"/>
        <w:rPr>
          <w:rFonts w:ascii="Times New Roman" w:cs="Times New Roman" w:eastAsia="Times New Roman" w:hAnsi="Times New Roman"/>
          <w:sz w:val="18"/>
          <w:szCs w:val="18"/>
          <w:color w:val="auto"/>
        </w:rPr>
      </w:pPr>
    </w:p>
    <w:p>
      <w:pPr>
        <w:ind w:left="273" w:hanging="273"/>
        <w:spacing w:after="0"/>
        <w:tabs>
          <w:tab w:leader="none" w:pos="27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Reservation of Shares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ind w:left="953" w:hanging="312"/>
        <w:spacing w:after="0" w:line="277" w:lineRule="auto"/>
        <w:tabs>
          <w:tab w:leader="none" w:pos="95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term of this Plan, will at all times reserve and keep available such number of Shares as shall be sufficient to satisfy the requirements of this Plan.</w:t>
      </w:r>
    </w:p>
    <w:p>
      <w:pPr>
        <w:spacing w:after="0" w:line="163" w:lineRule="exact"/>
        <w:rPr>
          <w:rFonts w:ascii="Times New Roman" w:cs="Times New Roman" w:eastAsia="Times New Roman" w:hAnsi="Times New Roman"/>
          <w:sz w:val="18"/>
          <w:szCs w:val="18"/>
          <w:color w:val="auto"/>
        </w:rPr>
      </w:pPr>
    </w:p>
    <w:p>
      <w:pPr>
        <w:jc w:val="both"/>
        <w:ind w:left="953" w:right="20" w:hanging="312"/>
        <w:spacing w:after="0" w:line="262" w:lineRule="auto"/>
        <w:tabs>
          <w:tab w:leader="none" w:pos="95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3" w:lineRule="exact"/>
        <w:rPr>
          <w:rFonts w:ascii="Times New Roman" w:cs="Times New Roman" w:eastAsia="Times New Roman" w:hAnsi="Times New Roman"/>
          <w:sz w:val="18"/>
          <w:szCs w:val="18"/>
          <w:color w:val="auto"/>
        </w:rPr>
      </w:pPr>
    </w:p>
    <w:p>
      <w:pPr>
        <w:jc w:val="both"/>
        <w:ind w:left="-7" w:firstLine="7"/>
        <w:spacing w:after="0" w:line="265" w:lineRule="auto"/>
        <w:tabs>
          <w:tab w:leader="none" w:pos="27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Effect on Terms of Employment/Consulting Relationship</w:t>
      </w:r>
      <w:r>
        <w:rPr>
          <w:rFonts w:ascii="Times New Roman" w:cs="Times New Roman" w:eastAsia="Times New Roman" w:hAnsi="Times New Roman"/>
          <w:sz w:val="18"/>
          <w:szCs w:val="18"/>
          <w:color w:val="auto"/>
        </w:rPr>
        <w:t>. This Plan shall not confer upon any Grantee any right with respect to the Grantee’s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Service, nor shall it interfere in any way with his or her right or the right of the Company or any Related Entity to terminate the Grantee’s Continuous Service at any time, with or without cause, and with or without notice.</w:t>
      </w:r>
    </w:p>
    <w:p>
      <w:pPr>
        <w:spacing w:after="0" w:line="169" w:lineRule="exact"/>
        <w:rPr>
          <w:rFonts w:ascii="Times New Roman" w:cs="Times New Roman" w:eastAsia="Times New Roman" w:hAnsi="Times New Roman"/>
          <w:sz w:val="18"/>
          <w:szCs w:val="18"/>
          <w:b w:val="1"/>
          <w:bCs w:val="1"/>
          <w:color w:val="auto"/>
        </w:rPr>
      </w:pPr>
    </w:p>
    <w:p>
      <w:pPr>
        <w:jc w:val="both"/>
        <w:ind w:left="-7" w:firstLine="7"/>
        <w:spacing w:after="0" w:line="256" w:lineRule="auto"/>
        <w:tabs>
          <w:tab w:leader="none" w:pos="2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Effect on Retirement and Other Benefit Plans</w:t>
      </w:r>
      <w:r>
        <w:rPr>
          <w:rFonts w:ascii="Times New Roman" w:cs="Times New Roman" w:eastAsia="Times New Roman" w:hAnsi="Times New Roman"/>
          <w:sz w:val="18"/>
          <w:szCs w:val="18"/>
          <w:color w:val="auto"/>
        </w:rPr>
        <w:t>. Except as specifically provided in a retirement or other benefit plan of the Company or a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This Plan is not a “Retirement Plan” or “Welfare Plan” under the Employee Retirement Income Security Act of 1974, as amended.</w:t>
      </w:r>
    </w:p>
    <w:p>
      <w:pPr>
        <w:spacing w:after="0" w:line="178" w:lineRule="exact"/>
        <w:rPr>
          <w:rFonts w:ascii="Times New Roman" w:cs="Times New Roman" w:eastAsia="Times New Roman" w:hAnsi="Times New Roman"/>
          <w:sz w:val="18"/>
          <w:szCs w:val="18"/>
          <w:b w:val="1"/>
          <w:bCs w:val="1"/>
          <w:color w:val="auto"/>
        </w:rPr>
      </w:pPr>
    </w:p>
    <w:p>
      <w:pPr>
        <w:ind w:left="-7" w:firstLine="7"/>
        <w:spacing w:after="0" w:line="282" w:lineRule="auto"/>
        <w:tabs>
          <w:tab w:leader="none" w:pos="2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Schedule</w:t>
      </w:r>
      <w:r>
        <w:rPr>
          <w:rFonts w:ascii="Times New Roman" w:cs="Times New Roman" w:eastAsia="Times New Roman" w:hAnsi="Times New Roman"/>
          <w:sz w:val="18"/>
          <w:szCs w:val="18"/>
          <w:color w:val="auto"/>
        </w:rPr>
        <w:t>. The Awards to be issued to any Grantee shall be subject to the vesting schedule as specified in the Award Agreement of such Grantee.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shall have the right to adjust the vesting schedule of the Awards granted to the Grantees.</w:t>
      </w:r>
    </w:p>
    <w:p>
      <w:pPr>
        <w:spacing w:after="0" w:line="154" w:lineRule="exact"/>
        <w:rPr>
          <w:rFonts w:ascii="Times New Roman" w:cs="Times New Roman" w:eastAsia="Times New Roman" w:hAnsi="Times New Roman"/>
          <w:sz w:val="18"/>
          <w:szCs w:val="18"/>
          <w:b w:val="1"/>
          <w:bCs w:val="1"/>
          <w:color w:val="auto"/>
        </w:rPr>
      </w:pPr>
    </w:p>
    <w:p>
      <w:pPr>
        <w:jc w:val="both"/>
        <w:ind w:left="-7" w:firstLine="7"/>
        <w:spacing w:after="0" w:line="254" w:lineRule="auto"/>
        <w:tabs>
          <w:tab w:leader="none" w:pos="2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This Plan and all Awards granted hereunder are intended to comply with, or otherwise be exempt from, the requirements of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Internal Revenue Code (the “Code”). The Plan and all Awards granted under this Plan shall be administered, interpreted, and construed in a manner consistent with Section 409A of the Code to the extent necessary to avoid the imposition of additional taxes under Section 409A(a)(1)(B) of the Code. Notwithstanding anything in this Plan to the contrary, in no event shall the Administrator exercise its discretion to accelerate the payment or settlement of an Award where such payment or settlement constitutes deferred compensation within the meaning of Section 409A of the Code unless, and solely to the extent that, such accelerated payment or settlement is permissible under Section 1.409A-3(j)(4) of the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417830</wp:posOffset>
            </wp:positionV>
            <wp:extent cx="7133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2" w:right="339" w:bottom="1440" w:gutter="0" w:footer="0" w:header="0"/>
        </w:sectPr>
      </w:pPr>
    </w:p>
    <w:bookmarkStart w:id="24" w:name="page25"/>
    <w:bookmarkEnd w:id="24"/>
    <w:p>
      <w:pPr>
        <w:jc w:val="both"/>
        <w:ind w:left="-7" w:firstLine="7"/>
        <w:spacing w:after="0" w:line="259" w:lineRule="auto"/>
        <w:tabs>
          <w:tab w:leader="none" w:pos="27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Holding Company, Trustee, etc</w:t>
      </w:r>
      <w:r>
        <w:rPr>
          <w:rFonts w:ascii="Times New Roman" w:cs="Times New Roman" w:eastAsia="Times New Roman" w:hAnsi="Times New Roman"/>
          <w:sz w:val="18"/>
          <w:szCs w:val="18"/>
          <w:color w:val="auto"/>
        </w:rPr>
        <w:t>. Notwithstanding anything to the contrary in this Plan, any Award Agreement, any notice of award or the terms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any Award is granted or vested, any underlying Share of the Awards may, at the Administrator’s own discretion, be held by one or more holding companies or trustees or other nominees (collectively, the “Trustees”) as designated by the Administrator for the Grantees, and this Plan may be implemented and administrated by the Administrator through the Trustees.</w:t>
      </w:r>
    </w:p>
    <w:p>
      <w:pPr>
        <w:spacing w:after="0" w:line="175" w:lineRule="exact"/>
        <w:rPr>
          <w:rFonts w:ascii="Times New Roman" w:cs="Times New Roman" w:eastAsia="Times New Roman" w:hAnsi="Times New Roman"/>
          <w:sz w:val="18"/>
          <w:szCs w:val="18"/>
          <w:b w:val="1"/>
          <w:bCs w:val="1"/>
          <w:color w:val="auto"/>
        </w:rPr>
      </w:pPr>
    </w:p>
    <w:p>
      <w:pPr>
        <w:jc w:val="both"/>
        <w:ind w:left="-7" w:firstLine="7"/>
        <w:spacing w:after="0" w:line="252" w:lineRule="auto"/>
        <w:tabs>
          <w:tab w:leader="none" w:pos="2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Unfunded Obligation</w:t>
      </w:r>
      <w:r>
        <w:rPr>
          <w:rFonts w:ascii="Times New Roman" w:cs="Times New Roman" w:eastAsia="Times New Roman" w:hAnsi="Times New Roman"/>
          <w:sz w:val="18"/>
          <w:szCs w:val="18"/>
          <w:color w:val="auto"/>
        </w:rPr>
        <w:t>. Any amounts payable to Grantees pursuant to this Plan shall be unfunded and unsecured obligations for all purposes. Neither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this Plan.</w:t>
      </w:r>
    </w:p>
    <w:p>
      <w:pPr>
        <w:spacing w:after="0" w:line="184" w:lineRule="exact"/>
        <w:rPr>
          <w:rFonts w:ascii="Times New Roman" w:cs="Times New Roman" w:eastAsia="Times New Roman" w:hAnsi="Times New Roman"/>
          <w:sz w:val="18"/>
          <w:szCs w:val="18"/>
          <w:b w:val="1"/>
          <w:bCs w:val="1"/>
          <w:color w:val="auto"/>
        </w:rPr>
      </w:pPr>
    </w:p>
    <w:p>
      <w:pPr>
        <w:jc w:val="both"/>
        <w:ind w:left="-7" w:firstLine="7"/>
        <w:spacing w:after="0" w:line="259" w:lineRule="auto"/>
        <w:tabs>
          <w:tab w:leader="none" w:pos="27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Non-exclusivity of this Plan</w:t>
      </w:r>
      <w:r>
        <w:rPr>
          <w:rFonts w:ascii="Times New Roman" w:cs="Times New Roman" w:eastAsia="Times New Roman" w:hAnsi="Times New Roman"/>
          <w:sz w:val="18"/>
          <w:szCs w:val="18"/>
          <w:color w:val="auto"/>
        </w:rPr>
        <w:t>. Neither the adoption of this Plan by the Board nor the submission of this Plan to the shareholders of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shall be construed as creating any limitations on the power of the Board to adopt such other incentive arrangements as it may deem desirable, including, without limitation, the granting of stock options or other equity-based awards otherwise than under this Plan, and such arrangements may be either applicable generally or only in specific cases.</w:t>
      </w:r>
    </w:p>
    <w:p>
      <w:pPr>
        <w:spacing w:after="0" w:line="175" w:lineRule="exact"/>
        <w:rPr>
          <w:rFonts w:ascii="Times New Roman" w:cs="Times New Roman" w:eastAsia="Times New Roman" w:hAnsi="Times New Roman"/>
          <w:sz w:val="18"/>
          <w:szCs w:val="18"/>
          <w:b w:val="1"/>
          <w:bCs w:val="1"/>
          <w:color w:val="auto"/>
        </w:rPr>
      </w:pPr>
    </w:p>
    <w:p>
      <w:pPr>
        <w:ind w:left="-7" w:firstLine="7"/>
        <w:spacing w:after="0" w:line="282" w:lineRule="auto"/>
        <w:tabs>
          <w:tab w:leader="none" w:pos="27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Agreements</w:t>
      </w:r>
      <w:r>
        <w:rPr>
          <w:rFonts w:ascii="Times New Roman" w:cs="Times New Roman" w:eastAsia="Times New Roman" w:hAnsi="Times New Roman"/>
          <w:sz w:val="18"/>
          <w:szCs w:val="18"/>
          <w:color w:val="auto"/>
        </w:rPr>
        <w:t>. Notwithstanding the above, the Administrator may require, as a condition to the grant of and/or the receipt of Shares under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that the Grantee execute lock-up, shareholder or other agreements, as it may determine in its sole and absolute discretion.</w:t>
      </w:r>
    </w:p>
    <w:p>
      <w:pPr>
        <w:spacing w:after="0" w:line="154" w:lineRule="exact"/>
        <w:rPr>
          <w:rFonts w:ascii="Times New Roman" w:cs="Times New Roman" w:eastAsia="Times New Roman" w:hAnsi="Times New Roman"/>
          <w:sz w:val="18"/>
          <w:szCs w:val="18"/>
          <w:b w:val="1"/>
          <w:bCs w:val="1"/>
          <w:color w:val="auto"/>
        </w:rPr>
      </w:pPr>
    </w:p>
    <w:p>
      <w:pPr>
        <w:jc w:val="both"/>
        <w:ind w:left="-7" w:firstLine="7"/>
        <w:spacing w:after="0" w:line="259" w:lineRule="auto"/>
        <w:tabs>
          <w:tab w:leader="none" w:pos="2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Except when otherwise indicated by the context, the singular shall include the plural and the plural shall include the singular. Use of the term “or” is not intended to be exclusive, unless the context clearly requires otherwise. Masculine pronouns and other words of masculine gender shall refer to both men and women.</w:t>
      </w:r>
    </w:p>
    <w:p>
      <w:pPr>
        <w:spacing w:after="0" w:line="175" w:lineRule="exact"/>
        <w:rPr>
          <w:rFonts w:ascii="Times New Roman" w:cs="Times New Roman" w:eastAsia="Times New Roman" w:hAnsi="Times New Roman"/>
          <w:sz w:val="18"/>
          <w:szCs w:val="18"/>
          <w:b w:val="1"/>
          <w:bCs w:val="1"/>
          <w:color w:val="auto"/>
        </w:rPr>
      </w:pPr>
    </w:p>
    <w:p>
      <w:pPr>
        <w:jc w:val="both"/>
        <w:ind w:left="-7" w:firstLine="7"/>
        <w:spacing w:after="0" w:line="256" w:lineRule="auto"/>
        <w:tabs>
          <w:tab w:leader="none" w:pos="2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Plan or any Award or Award Agreement is or becomes or is deemed to be invalid, illegal, or unenforceable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such provision shall be construed or deemed amended to conform to the Applicable Laws in the manner that most closely reflects the original intent of the Award or this Plan, or if it cannot be construed or deemed amended without, in the determination of the Administrator, materially altering the intent of this Plan or the Award, such provision shall be construed or deemed stricken as to such jurisdiction and the remainder of this Plan and any such Award shall remain in full force and effect.</w:t>
      </w:r>
    </w:p>
    <w:p>
      <w:pPr>
        <w:spacing w:after="0" w:line="178" w:lineRule="exact"/>
        <w:rPr>
          <w:rFonts w:ascii="Times New Roman" w:cs="Times New Roman" w:eastAsia="Times New Roman" w:hAnsi="Times New Roman"/>
          <w:sz w:val="18"/>
          <w:szCs w:val="18"/>
          <w:b w:val="1"/>
          <w:bCs w:val="1"/>
          <w:color w:val="auto"/>
        </w:rPr>
      </w:pPr>
    </w:p>
    <w:p>
      <w:pPr>
        <w:jc w:val="both"/>
        <w:ind w:left="-7" w:firstLine="7"/>
        <w:spacing w:after="0" w:line="265" w:lineRule="auto"/>
        <w:tabs>
          <w:tab w:leader="none" w:pos="2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Plan is to be construed in accordance with and governed by the laws of the State of New York, without giving effect to any choice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law or rule that would cause the application of the laws of any jurisdiction other than the laws of the State of New York to the rights and duties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410210</wp:posOffset>
            </wp:positionV>
            <wp:extent cx="71335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2"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pertaining to the 2026 Share Incentive Plan of Baosheng Media Group Holdings Limited (the “Company”) of our report dated April 30, 2026, relating to the consolidated balance sheet of the Company as of December 31, 2025, and the related consolidated statements of operations and comprehensive loss, changes in shareholders’ equity, and cash flows for the year then ended, and the related notes, included in Baosheng Media Group Holdings Limited’s Annual Report on Form 20-F for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GGF CPA LTD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GGF CPA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the People’s Republic of China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Baosheng Media Group Holdings Ltd</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00" w:type="dxa"/>
            <w:vAlign w:val="bottom"/>
            <w:vMerge w:val="restart"/>
            <w:shd w:val="clear" w:color="auto" w:fill="9ADAF6"/>
          </w:tcPr>
          <w:p>
            <w:pPr>
              <w:ind w:left="12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2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18"/>
                <w:szCs w:val="18"/>
                <w:color w:val="auto"/>
              </w:rPr>
            </w:pPr>
          </w:p>
        </w:tc>
        <w:tc>
          <w:tcPr>
            <w:tcW w:w="14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1100" w:type="dxa"/>
            <w:vAlign w:val="bottom"/>
            <w:shd w:val="clear" w:color="auto" w:fill="9ADAF6"/>
          </w:tcPr>
          <w:p>
            <w:pPr>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40" w:type="dxa"/>
            <w:vAlign w:val="bottom"/>
          </w:tcPr>
          <w:p>
            <w:pPr>
              <w:spacing w:after="0"/>
              <w:rPr>
                <w:sz w:val="23"/>
                <w:szCs w:val="23"/>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40" w:type="dxa"/>
            <w:vAlign w:val="bottom"/>
          </w:tcPr>
          <w:p>
            <w:pPr>
              <w:spacing w:after="0"/>
              <w:rPr>
                <w:sz w:val="23"/>
                <w:szCs w:val="23"/>
                <w:color w:val="auto"/>
              </w:rPr>
            </w:pPr>
          </w:p>
        </w:tc>
        <w:tc>
          <w:tcPr>
            <w:tcW w:w="10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Ordinary</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10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Shares,</w:t>
            </w:r>
          </w:p>
        </w:tc>
        <w:tc>
          <w:tcPr>
            <w:tcW w:w="20" w:type="dxa"/>
            <w:vAlign w:val="bottom"/>
          </w:tcPr>
          <w:p>
            <w:pPr>
              <w:spacing w:after="0"/>
              <w:rPr>
                <w:sz w:val="20"/>
                <w:szCs w:val="2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5,300,000</w:t>
            </w:r>
          </w:p>
        </w:tc>
        <w:tc>
          <w:tcPr>
            <w:tcW w:w="20" w:type="dxa"/>
            <w:vAlign w:val="bottom"/>
          </w:tcPr>
          <w:p>
            <w:pPr>
              <w:spacing w:after="0"/>
              <w:rPr>
                <w:sz w:val="20"/>
                <w:szCs w:val="2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$ 2.93</w:t>
            </w:r>
          </w:p>
        </w:tc>
        <w:tc>
          <w:tcPr>
            <w:tcW w:w="40" w:type="dxa"/>
            <w:vAlign w:val="bottom"/>
          </w:tcPr>
          <w:p>
            <w:pPr>
              <w:spacing w:after="0"/>
              <w:rPr>
                <w:sz w:val="20"/>
                <w:szCs w:val="20"/>
                <w:color w:val="auto"/>
              </w:rPr>
            </w:pPr>
          </w:p>
        </w:tc>
        <w:tc>
          <w:tcPr>
            <w:tcW w:w="14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4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$ 2,144.55</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 $</w:t>
            </w:r>
          </w:p>
        </w:tc>
        <w:tc>
          <w:tcPr>
            <w:tcW w:w="20" w:type="dxa"/>
            <w:vAlign w:val="bottom"/>
          </w:tcPr>
          <w:p>
            <w:pPr>
              <w:spacing w:after="0"/>
              <w:rPr>
                <w:sz w:val="20"/>
                <w:szCs w:val="20"/>
                <w:color w:val="auto"/>
              </w:rPr>
            </w:pPr>
          </w:p>
        </w:tc>
        <w:tc>
          <w:tcPr>
            <w:tcW w:w="120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15,529,000.00</w:t>
            </w:r>
          </w:p>
        </w:tc>
        <w:tc>
          <w:tcPr>
            <w:tcW w:w="40" w:type="dxa"/>
            <w:vAlign w:val="bottom"/>
          </w:tcPr>
          <w:p>
            <w:pPr>
              <w:spacing w:after="0"/>
              <w:rPr>
                <w:sz w:val="20"/>
                <w:szCs w:val="20"/>
                <w:color w:val="auto"/>
              </w:rPr>
            </w:pPr>
          </w:p>
        </w:tc>
        <w:tc>
          <w:tcPr>
            <w:tcW w:w="10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shd w:val="clear" w:color="auto" w:fill="E7E7E2"/>
          </w:tcPr>
          <w:p>
            <w:pPr>
              <w:spacing w:after="0"/>
              <w:rPr>
                <w:sz w:val="20"/>
                <w:szCs w:val="20"/>
                <w:color w:val="auto"/>
              </w:rPr>
            </w:pPr>
            <w:r>
              <w:rPr>
                <w:rFonts w:ascii="Arial" w:cs="Arial" w:eastAsia="Arial" w:hAnsi="Arial"/>
                <w:sz w:val="21"/>
                <w:szCs w:val="21"/>
                <w:color w:val="auto"/>
              </w:rPr>
              <w:t>US$0.0096</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21"/>
                <w:szCs w:val="21"/>
                <w:color w:val="auto"/>
              </w:rPr>
              <w:t>$ 2,144.55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15,529,000.00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21"/>
                <w:szCs w:val="21"/>
                <w:color w:val="auto"/>
              </w:rPr>
              <w:t>$ 2,144.55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jc w:val="both"/>
        <w:ind w:left="800" w:right="680" w:firstLine="2"/>
        <w:spacing w:after="0" w:line="248" w:lineRule="auto"/>
        <w:tabs>
          <w:tab w:leader="none" w:pos="1121"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This estimate is made pursuant to Rule 457(c) and Rule 457(h) of the Securities Act of 1933, as amended (the "Securities Act") solely for purposes of calculating the registration fee. The Proposed Maximum Offering Price Per Share is the average of the high price ($3.07) and low price ($2.78) for the Registrant's Ordinary Shares as reported on the Nasdaq Capital Market on June 15, 2026 (rounded up to the nearest cent).</w:t>
      </w:r>
    </w:p>
    <w:p>
      <w:pPr>
        <w:spacing w:after="0" w:line="195" w:lineRule="exact"/>
        <w:rPr>
          <w:rFonts w:ascii="Arial" w:cs="Arial" w:eastAsia="Arial" w:hAnsi="Arial"/>
          <w:sz w:val="21"/>
          <w:szCs w:val="21"/>
          <w:color w:val="auto"/>
        </w:rPr>
      </w:pPr>
    </w:p>
    <w:p>
      <w:pPr>
        <w:ind w:left="800" w:right="680" w:firstLine="2"/>
        <w:spacing w:after="0" w:line="258" w:lineRule="auto"/>
        <w:tabs>
          <w:tab w:leader="none" w:pos="1121" w:val="left"/>
        </w:tabs>
        <w:numPr>
          <w:ilvl w:val="0"/>
          <w:numId w:val="47"/>
        </w:numPr>
        <w:rPr>
          <w:rFonts w:ascii="Arial" w:cs="Arial" w:eastAsia="Arial" w:hAnsi="Arial"/>
          <w:sz w:val="21"/>
          <w:szCs w:val="21"/>
          <w:color w:val="auto"/>
        </w:rPr>
      </w:pPr>
      <w:r>
        <w:rPr>
          <w:rFonts w:ascii="Arial" w:cs="Arial" w:eastAsia="Arial" w:hAnsi="Arial"/>
          <w:sz w:val="21"/>
          <w:szCs w:val="21"/>
          <w:color w:val="auto"/>
        </w:rPr>
        <w:t>Represents 5,300,000 Ordinary Shares issuable under our 2026 Share Incentive Plan, dated as of June 18, 2026. Pursuant to Rule 416(a) of the Securities Act, the number of Ordinary Shares registered hereunder will be adjusted in the event of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69215</wp:posOffset>
            </wp:positionV>
            <wp:extent cx="6387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lowerLetter"/>
      <w:start w:val="1"/>
    </w:lvl>
  </w:abstractNum>
  <w:abstractNum w:abstractNumId="2">
    <w:nsid w:val="79838CB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353D0CD"/>
    <w:multiLevelType w:val="hybridMultilevel"/>
    <w:lvl w:ilvl="0">
      <w:lvlJc w:val="left"/>
      <w:lvlText w:val="%1"/>
      <w:numFmt w:val="lowerLetter"/>
      <w:start w:val="1"/>
    </w:lvl>
    <w:lvl w:ilvl="1">
      <w:lvlJc w:val="left"/>
      <w:lvlText w:val="(%2)"/>
      <w:numFmt w:val="decimal"/>
      <w:start w:val="3"/>
    </w:lvl>
  </w:abstractNum>
  <w:abstractNum w:abstractNumId="4">
    <w:nsid w:val="B03E0C6"/>
    <w:multiLevelType w:val="hybridMultilevel"/>
    <w:lvl w:ilvl="0">
      <w:lvlJc w:val="left"/>
      <w:lvlText w:val="(%1)"/>
      <w:numFmt w:val="lowerLetter"/>
      <w:start w:val="2"/>
    </w:lvl>
    <w:lvl w:ilvl="1">
      <w:lvlJc w:val="left"/>
      <w:lvlText w:val="%2"/>
      <w:numFmt w:val="decimal"/>
      <w:start w:val="1"/>
    </w:lvl>
  </w:abstractNum>
  <w:abstractNum w:abstractNumId="5">
    <w:nsid w:val="189A769B"/>
    <w:multiLevelType w:val="hybridMultilevel"/>
    <w:lvl w:ilvl="0">
      <w:lvlJc w:val="left"/>
      <w:lvlText w:val="1"/>
      <w:numFmt w:val="bullet"/>
      <w:start w:val="1"/>
    </w:lvl>
  </w:abstractNum>
  <w:abstractNum w:abstractNumId="6">
    <w:nsid w:val="54E49EB4"/>
    <w:multiLevelType w:val="hybridMultilevel"/>
    <w:lvl w:ilvl="0">
      <w:lvlJc w:val="left"/>
      <w:lvlText w:val="2"/>
      <w:numFmt w:val="bullet"/>
      <w:start w:val="1"/>
    </w:lvl>
  </w:abstractNum>
  <w:abstractNum w:abstractNumId="7">
    <w:nsid w:val="71F32454"/>
    <w:multiLevelType w:val="hybridMultilevel"/>
    <w:lvl w:ilvl="0">
      <w:lvlJc w:val="left"/>
      <w:lvlText w:val="1"/>
      <w:numFmt w:val="bullet"/>
      <w:start w:val="1"/>
    </w:lvl>
  </w:abstractNum>
  <w:abstractNum w:abstractNumId="8">
    <w:nsid w:val="2CA88611"/>
    <w:multiLevelType w:val="hybridMultilevel"/>
    <w:lvl w:ilvl="0">
      <w:lvlJc w:val="left"/>
      <w:lvlText w:val="2"/>
      <w:numFmt w:val="bullet"/>
      <w:start w:val="1"/>
    </w:lvl>
  </w:abstractNum>
  <w:abstractNum w:abstractNumId="9">
    <w:nsid w:val="836C40E"/>
    <w:multiLevelType w:val="hybridMultilevel"/>
    <w:lvl w:ilvl="0">
      <w:lvlJc w:val="left"/>
      <w:lvlText w:val="3"/>
      <w:numFmt w:val="bullet"/>
      <w:start w:val="1"/>
    </w:lvl>
  </w:abstractNum>
  <w:abstractNum w:abstractNumId="10">
    <w:nsid w:val="2901D82"/>
    <w:multiLevelType w:val="hybridMultilevel"/>
    <w:lvl w:ilvl="0">
      <w:lvlJc w:val="left"/>
      <w:lvlText w:val="4"/>
      <w:numFmt w:val="bullet"/>
      <w:start w:val="1"/>
    </w:lvl>
  </w:abstractNum>
  <w:abstractNum w:abstractNumId="11">
    <w:nsid w:val="3A95F874"/>
    <w:multiLevelType w:val="hybridMultilevel"/>
    <w:lvl w:ilvl="0">
      <w:lvlJc w:val="left"/>
      <w:lvlText w:val="5"/>
      <w:numFmt w:val="bullet"/>
      <w:start w:val="1"/>
    </w:lvl>
  </w:abstractNum>
  <w:abstractNum w:abstractNumId="12">
    <w:nsid w:val="8138641"/>
    <w:multiLevelType w:val="hybridMultilevel"/>
    <w:lvl w:ilvl="0">
      <w:lvlJc w:val="left"/>
      <w:lvlText w:val="6"/>
      <w:numFmt w:val="bullet"/>
      <w:start w:val="1"/>
    </w:lvl>
  </w:abstractNum>
  <w:abstractNum w:abstractNumId="13">
    <w:nsid w:val="1E7FF521"/>
    <w:multiLevelType w:val="hybridMultilevel"/>
    <w:lvl w:ilvl="0">
      <w:lvlJc w:val="left"/>
      <w:lvlText w:val="1"/>
      <w:numFmt w:val="bullet"/>
      <w:start w:val="1"/>
    </w:lvl>
  </w:abstractNum>
  <w:abstractNum w:abstractNumId="14">
    <w:nsid w:val="7C3DBD3D"/>
    <w:multiLevelType w:val="hybridMultilevel"/>
    <w:lvl w:ilvl="0">
      <w:lvlJc w:val="left"/>
      <w:lvlText w:val="2"/>
      <w:numFmt w:val="bullet"/>
      <w:start w:val="1"/>
    </w:lvl>
  </w:abstractNum>
  <w:abstractNum w:abstractNumId="15">
    <w:nsid w:val="737B8DDC"/>
    <w:multiLevelType w:val="hybridMultilevel"/>
    <w:lvl w:ilvl="0">
      <w:lvlJc w:val="left"/>
      <w:lvlText w:val="3"/>
      <w:numFmt w:val="bullet"/>
      <w:start w:val="1"/>
    </w:lvl>
  </w:abstractNum>
  <w:abstractNum w:abstractNumId="16">
    <w:nsid w:val="6CEAF087"/>
    <w:multiLevelType w:val="hybridMultilevel"/>
    <w:lvl w:ilvl="0">
      <w:lvlJc w:val="left"/>
      <w:lvlText w:val="4"/>
      <w:numFmt w:val="bullet"/>
      <w:start w:val="1"/>
    </w:lvl>
  </w:abstractNum>
  <w:abstractNum w:abstractNumId="17">
    <w:nsid w:val="22221A70"/>
    <w:multiLevelType w:val="hybridMultilevel"/>
    <w:lvl w:ilvl="0">
      <w:lvlJc w:val="left"/>
      <w:lvlText w:val="5"/>
      <w:numFmt w:val="bullet"/>
      <w:start w:val="1"/>
    </w:lvl>
  </w:abstractNum>
  <w:abstractNum w:abstractNumId="18">
    <w:nsid w:val="4516DDE9"/>
    <w:multiLevelType w:val="hybridMultilevel"/>
    <w:lvl w:ilvl="0">
      <w:lvlJc w:val="left"/>
      <w:lvlText w:val="6"/>
      <w:numFmt w:val="bullet"/>
      <w:start w:val="1"/>
    </w:lvl>
  </w:abstractNum>
  <w:abstractNum w:abstractNumId="19">
    <w:nsid w:val="3006C83E"/>
    <w:multiLevelType w:val="hybridMultilevel"/>
    <w:lvl w:ilvl="0">
      <w:lvlJc w:val="left"/>
      <w:lvlText w:val="7"/>
      <w:numFmt w:val="bullet"/>
      <w:start w:val="1"/>
    </w:lvl>
  </w:abstractNum>
  <w:abstractNum w:abstractNumId="20">
    <w:nsid w:val="614FD4A1"/>
    <w:multiLevelType w:val="hybridMultilevel"/>
    <w:lvl w:ilvl="0">
      <w:lvlJc w:val="left"/>
      <w:lvlText w:val="1"/>
      <w:numFmt w:val="bullet"/>
      <w:start w:val="1"/>
    </w:lvl>
  </w:abstractNum>
  <w:abstractNum w:abstractNumId="21">
    <w:nsid w:val="419AC241"/>
    <w:multiLevelType w:val="hybridMultilevel"/>
    <w:lvl w:ilvl="0">
      <w:lvlJc w:val="left"/>
      <w:lvlText w:val="2"/>
      <w:numFmt w:val="bullet"/>
      <w:start w:val="1"/>
    </w:lvl>
  </w:abstractNum>
  <w:abstractNum w:abstractNumId="22">
    <w:nsid w:val="5577F8E1"/>
    <w:multiLevelType w:val="hybridMultilevel"/>
    <w:lvl w:ilvl="0">
      <w:lvlJc w:val="left"/>
      <w:lvlText w:val="3"/>
      <w:numFmt w:val="bullet"/>
      <w:start w:val="1"/>
    </w:lvl>
  </w:abstractNum>
  <w:abstractNum w:abstractNumId="23">
    <w:nsid w:val="440BADFC"/>
    <w:multiLevelType w:val="hybridMultilevel"/>
    <w:lvl w:ilvl="0">
      <w:lvlJc w:val="left"/>
      <w:lvlText w:val="4"/>
      <w:numFmt w:val="bullet"/>
      <w:start w:val="1"/>
    </w:lvl>
  </w:abstractNum>
  <w:abstractNum w:abstractNumId="24">
    <w:nsid w:val="5072367"/>
    <w:multiLevelType w:val="hybridMultilevel"/>
    <w:lvl w:ilvl="0">
      <w:lvlJc w:val="left"/>
      <w:lvlText w:val="5"/>
      <w:numFmt w:val="bullet"/>
      <w:start w:val="1"/>
    </w:lvl>
  </w:abstractNum>
  <w:abstractNum w:abstractNumId="25">
    <w:nsid w:val="3804823E"/>
    <w:multiLevelType w:val="hybridMultilevel"/>
    <w:lvl w:ilvl="0">
      <w:lvlJc w:val="left"/>
      <w:lvlText w:val="6"/>
      <w:numFmt w:val="bullet"/>
      <w:start w:val="1"/>
    </w:lvl>
  </w:abstractNum>
  <w:abstractNum w:abstractNumId="26">
    <w:nsid w:val="77465F01"/>
    <w:multiLevelType w:val="hybridMultilevel"/>
    <w:lvl w:ilvl="0">
      <w:lvlJc w:val="left"/>
      <w:lvlText w:val="1"/>
      <w:numFmt w:val="bullet"/>
      <w:start w:val="1"/>
    </w:lvl>
  </w:abstractNum>
  <w:abstractNum w:abstractNumId="27">
    <w:nsid w:val="7724C67E"/>
    <w:multiLevelType w:val="hybridMultilevel"/>
    <w:lvl w:ilvl="0">
      <w:lvlJc w:val="left"/>
      <w:lvlText w:val="2"/>
      <w:numFmt w:val="bullet"/>
      <w:start w:val="1"/>
    </w:lvl>
  </w:abstractNum>
  <w:abstractNum w:abstractNumId="28">
    <w:nsid w:val="5C482A97"/>
    <w:multiLevelType w:val="hybridMultilevel"/>
    <w:lvl w:ilvl="0">
      <w:lvlJc w:val="left"/>
      <w:lvlText w:val="3"/>
      <w:numFmt w:val="bullet"/>
      <w:start w:val="1"/>
    </w:lvl>
    <w:lvl w:ilvl="1">
      <w:lvlJc w:val="left"/>
      <w:lvlText w:val="(%2)"/>
      <w:numFmt w:val="lowerLetter"/>
      <w:start w:val="1"/>
    </w:lvl>
  </w:abstractNum>
  <w:abstractNum w:abstractNumId="29">
    <w:nsid w:val="2463B9EA"/>
    <w:multiLevelType w:val="hybridMultilevel"/>
    <w:lvl w:ilvl="0">
      <w:lvlJc w:val="left"/>
      <w:lvlText w:val="%1."/>
      <w:numFmt w:val="decimal"/>
      <w:start w:val="1"/>
    </w:lvl>
    <w:lvl w:ilvl="1">
      <w:lvlJc w:val="left"/>
      <w:lvlText w:val="(%2)"/>
      <w:numFmt w:val="lowerLetter"/>
      <w:start w:val="1"/>
    </w:lvl>
  </w:abstractNum>
  <w:abstractNum w:abstractNumId="30">
    <w:nsid w:val="5E884ADC"/>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2"/>
    </w:lvl>
  </w:abstractNum>
  <w:abstractNum w:abstractNumId="31">
    <w:nsid w:val="51EAD36B"/>
    <w:multiLevelType w:val="hybridMultilevel"/>
    <w:lvl w:ilvl="0">
      <w:lvlJc w:val="left"/>
      <w:lvlText w:val="%1"/>
      <w:numFmt w:val="lowerLetter"/>
      <w:start w:val="1"/>
    </w:lvl>
    <w:lvl w:ilvl="1">
      <w:lvlJc w:val="left"/>
      <w:lvlText w:val="(%2)"/>
      <w:numFmt w:val="lowerLetter"/>
      <w:start w:val="22"/>
    </w:lvl>
  </w:abstractNum>
  <w:abstractNum w:abstractNumId="32">
    <w:nsid w:val="2D517796"/>
    <w:multiLevelType w:val="hybridMultilevel"/>
    <w:lvl w:ilvl="0">
      <w:lvlJc w:val="left"/>
      <w:lvlText w:val="(%1)"/>
      <w:numFmt w:val="lowerLetter"/>
      <w:start w:val="14"/>
    </w:lvl>
    <w:lvl w:ilvl="1">
      <w:lvlJc w:val="left"/>
      <w:lvlText w:val="%2"/>
      <w:numFmt w:val="lowerLetter"/>
      <w:start w:val="1"/>
    </w:lvl>
  </w:abstractNum>
  <w:abstractNum w:abstractNumId="33">
    <w:nsid w:val="580BD78F"/>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34">
    <w:nsid w:val="153EA43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5">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6">
    <w:nsid w:val="70A64E2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
    <w:nsid w:val="6A2342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8">
    <w:nsid w:val="2A487CB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9">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0">
    <w:nsid w:val="725A06F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
    <w:nsid w:val="2CD89A3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2">
    <w:nsid w:val="57E4CCA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3">
    <w:nsid w:val="7A6D8D3C"/>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35"/>
    </w:lvl>
  </w:abstractNum>
  <w:abstractNum w:abstractNumId="44">
    <w:nsid w:val="4B588F54"/>
    <w:multiLevelType w:val="hybridMultilevel"/>
    <w:lvl w:ilvl="0">
      <w:lvlJc w:val="left"/>
      <w:lvlText w:val="%1."/>
      <w:numFmt w:val="decimal"/>
      <w:start w:val="12"/>
    </w:lvl>
    <w:lvl w:ilvl="1">
      <w:lvlJc w:val="left"/>
      <w:lvlText w:val="(%2)"/>
      <w:numFmt w:val="lowerLetter"/>
      <w:start w:val="1"/>
    </w:lvl>
  </w:abstractNum>
  <w:abstractNum w:abstractNumId="45">
    <w:nsid w:val="542289EC"/>
    <w:multiLevelType w:val="hybridMultilevel"/>
    <w:lvl w:ilvl="0">
      <w:lvlJc w:val="left"/>
      <w:lvlText w:val="%1."/>
      <w:numFmt w:val="decimal"/>
      <w:start w:val="20"/>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15" Type="http://schemas.openxmlformats.org/officeDocument/2006/relationships/hyperlink" Target="https://www.sec.gov/Archives/edgar/data/1811216/000110465926053161/baos-20251231x20f.htm" TargetMode="External"/><Relationship Id="rId16" Type="http://schemas.openxmlformats.org/officeDocument/2006/relationships/hyperlink" Target="https://www.sec.gov/Archives/edgar/data/1811216/000110465921010221/tm214907d1_8a12b.htm" TargetMode="External"/><Relationship Id="rId17" Type="http://schemas.openxmlformats.org/officeDocument/2006/relationships/hyperlink" Target="https://www.sec.gov/Archives/edgar/data/1811216/000110465926072407/tm2617068d1_6k.htm" TargetMode="External"/><Relationship Id="rId19" Type="http://schemas.openxmlformats.org/officeDocument/2006/relationships/hyperlink" Target="https://www.sec.gov/Archives/edgar/data/1811216/000141057824000864/baos-20231231xex1d1.htm" TargetMode="External"/><Relationship Id="rId20" Type="http://schemas.openxmlformats.org/officeDocument/2006/relationships/hyperlink" Target="https://www.sec.gov/Archives/edgar/data/1811216/000141057823000924/baos-20221231xex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2026-06-18T12:15:45Z</dcterms:created>
  <dcterms:modified xsi:type="dcterms:W3CDTF">2026-06-18T12:15:45Z</dcterms:modified>
</cp:coreProperties>
</file>