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163d1_f3.htm"/>
      <w:bookmarkStart w:id="1" w:name="kstm2624163d1_f3"/>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U.S. Securities and Exchange Commission on September 3,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w:t>
      </w:r>
      <w:r>
        <w:rPr>
          <w:rFonts w:ascii="Times New Roman;Times;Serif" w:hAnsi="Times New Roman;Times;Serif"/>
          <w:b w:val="false"/>
          <w:i w:val="false"/>
          <w:caps w:val="false"/>
          <w:smallCaps w:val="false"/>
          <w:sz w:val="20"/>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t>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Baosheng Media Group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Floor 5, Building No. 8, Xishanhui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Shijingshan District, Beijing 100041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+86-010-82088021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Puglisi &amp; Associates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 Library Avenue, Suite 204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DE 19711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302-738-6680</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a Copy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Sanny Choi, Esq.</w:t>
        <w:br/>
        <w:t>Zoe Qiu, Esq.</w:t>
        <w:br/>
        <w:t>CFN Lawyers LLC</w:t>
        <w:br/>
        <w:t>418 Broadway #4607</w:t>
        <w:br/>
        <w:t>Albany, New York, NY 12207</w:t>
        <w:br/>
        <w:t>(646) 386-8128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the effective date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415(a)(6), the securities being registered hereunder include $99,827,633.62 of unsold securities which remain unsold as of the date hereof, or collectively, the Unsold Securities, previously registered by the registrant’s registration statement on Form F-3 (File No. 333-273720), which was originally filed with the SEC on August 4, 2023 and declared effective on September 26, 2023, or the Prior Registration Statement. The aggregate filing fee paid in connection with such Unsold Securities was $11,001.01. Pursuant to Rule 415(a)(6) under the Securities Act, (i) the registration fee applicable to the Unsold Securities is being carried forward to this registration statement and will continue to be applied to the Unsold Securities, and (ii) the offering of the Unsold Securities registered on the Prior Registration Statement will be deemed terminated as of the date of effectiveness of this registration statement. If the registrant sells any of the Unsold Securities pursuant to the Prior Registration Statement after the date of the initial filing, and prior to the date of effectiveness, of this registration statement, the registrant will file a pre-effective amendment to this registration statement, which will reduce the number of Unsold Securities included on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25" w:type="dxa"/>
        <w:tblLayout w:type="fixed"/>
        <w:tblCellMar>
          <w:top w:w="108" w:type="dxa"/>
          <w:left w:w="108" w:type="dxa"/>
          <w:bottom w:w="108" w:type="dxa"/>
          <w:right w:w="108" w:type="dxa"/>
        </w:tblCellMar>
      </w:tblPr>
      <w:tblGrid>
        <w:gridCol w:w="10205"/>
      </w:tblGrid>
      <w:tr>
        <w:trPr/>
        <w:tc>
          <w:tcPr>
            <w:tcW w:w="10205" w:type="dxa"/>
            <w:tcBorders>
              <w:top w:val="double" w:sz="6" w:space="0" w:color="000000"/>
              <w:left w:val="double" w:sz="6" w:space="0" w:color="000000"/>
              <w:bottom w:val="double" w:sz="6" w:space="0" w:color="000000"/>
              <w:right w:val="double" w:sz="6" w:space="0" w:color="000000"/>
            </w:tcBorders>
            <w:vAlign w:val="center"/>
          </w:tcPr>
          <w:p>
            <w:pPr>
              <w:pStyle w:val="TableContents"/>
              <w:bidi w:val="0"/>
              <w:spacing w:before="0" w:after="283"/>
              <w:jc w:val="both"/>
              <w:rPr>
                <w:rFonts w:ascii="Times New Roman;Times;Serif" w:hAnsi="Times New Roman;Times;Serif"/>
                <w:color w:val="FF0000"/>
                <w:sz w:val="20"/>
              </w:rPr>
            </w:pPr>
            <w:r>
              <w:rPr>
                <w:rFonts w:ascii="Times New Roman;Times;Serif" w:hAnsi="Times New Roman;Times;Serif"/>
                <w:color w:val="FF0000"/>
                <w:sz w:val="20"/>
              </w:rPr>
              <w:t>The information in this preliminary prospectus is not complete and may be changed. We may not sell the securities until the registration statement filed with the U.S. Securities and Exchange Commission is effective. This preliminary prospectus is not an offer to sell these securities and is not soliciting any offer to buy these securities in any jurisdiction where such offer or sale is not permitted.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SUBJECT TO COMPLETION, DATED SEPTEMBER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543175"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43175" cy="942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US$300,000,000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from time to time, in one or more offerings, ordinary shares, par value US$0.0096 per share (the “Ordinary Shares”) of Baosheng Media Group Holdings Limited, debt securities, warrants, rights or units, which we collectively refer to as the “securities”. The aggregate initial offering price of the securities that we may offer and sell under this prospectus will not exceed $300,000,000.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This prospectus may not be used to consummate a sale of securities unless accompanied by the applicable prospectus supplement. You should read this prospectus and any applicable prospectus supplement before you invest.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 securities from time to time at fixed prices, at market prices, or at negotiated prices, to or through underwriters, to other purchasers, through agents, or through a combination of these methods. If any underwriters are involved in the sale of any securities with respect to which this prospectus is being delivered, the names of such underwriters and any applicable commissions or discounts will be set forth in a prospectus supplement. The offering price of such securities and the net proceeds we expect to receive from such sale will also be set forth in a prospectus supplement. See “Plan of Distribution” elsewhere in this prospectus for a more complete description of the ways in which the securities may be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under the symbol “BAOS.” On August 31, 2026, the closing price for our Ordinary Shares was $0.35 per share. The applicable prospectus supplement will contain information, where applicable, as to other listings, if any, on the Nasdaq Capital Market or other securities exchange of the securities covered by the prospectus supplement. We may experience price volatility in our stock. See related risk factors in the “Risk Factors” section of this prospectus and as set forth in our annual report on Form 20-F for the fiscal year ended December 31, 2025 (the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an applicable prospectus supplement, our debt securities, warrants, rights and units will not be listed on any securities or stock exchange or on any automated dealer quotation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Investors are cautioned that you are </w:t>
      </w:r>
      <w:r>
        <w:rPr>
          <w:rFonts w:ascii="Times New Roman;Times;Serif" w:hAnsi="Times New Roman;Times;Serif"/>
          <w:b/>
          <w:i w:val="false"/>
          <w:caps w:val="false"/>
          <w:smallCaps w:val="false"/>
          <w:sz w:val="20"/>
          <w:u w:val="single"/>
        </w:rPr>
        <w:t>not</w:t>
      </w:r>
      <w:r>
        <w:rPr>
          <w:rFonts w:ascii="Times New Roman;Times;Serif" w:hAnsi="Times New Roman;Times;Serif"/>
          <w:b/>
          <w:i w:val="false"/>
          <w:caps w:val="false"/>
          <w:smallCaps w:val="false"/>
          <w:sz w:val="20"/>
        </w:rPr>
        <w:t xml:space="preserve"> buying shares of a China-based operating company but instead are buying shares of a Cayman Islands holding company with operations conducted by our subsidiaries based in China and that this structure involves unique risks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is an offering of the ordinary shares of the Cayman Islands holding company. We conduct our business through the PRC subsidiaries. You will not and may never have direct ownership in the operating entity based in China. We do not use a Variable Interest Entity (“VIE”)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as used in this prospectus, the terms (i) “we,” “us,” “our,” or the “Company” refer to Baosheng Media Group Holdings Limited, a Cayman Islands exempted company with limited liability, (ii) “our subsidiaries” or “the subsidiaries” refer to the Company’s direct and indirect subsidiaries, and (iii) “operating entities” refer to the Company’s subsidiaries with business activities, namely Beijing Baosheng Technology Company Limited (“Beijing Baosheng”), Horgos Baosheng Advertising Company Limited (“Horgos Baosheng”), Baosheng Technology (Horgos) Company Limited (“Baosheng Technology”), Beijing Zhiding Baosheng Network Technology Co., Ltd. (“Beijing Zhiding”), Yuansheng Meiyan Healthcare Service (Hainan) Co., Ltd. (“Yuansheng Meiyan”), Beijing Baosheng Network Technology Co., Ltd. (“Baosheng Network”) and Beijing Xunhuo E-commerce Co., Ltd. (“Beijing Xunhuo”); all are limited liability companies established in the People’s Republic of China (the “PRC” or “China”) and our indirect wholly 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and not a Chinese operating company. As a holding company with no operations of our own, we conduct our operations through the operating entities in China, and this structure involves unique risks to investors. We have not adopted a variable interest entity (the “VIE”) structure. Investors in our securities are not purchasing equity interests in our subsidiaries but instead are purchasing equity interests in the Cayman Islands holding company. Therefore, investors will not directly hold any equity interests in our operating companies. The Chinese regulatory authorities could disallow our corporate structure, which would likely result in a material change in our operations and/or a material change in the value of our securities, including that it could cause the value of such securities to significantly decline or become worthless. For risks facing our Company and this offering as a result of our organizational structure, see “</w:t>
      </w:r>
      <w:r>
        <w:rPr>
          <w:rFonts w:ascii="Times New Roman;Times;Serif" w:hAnsi="Times New Roman;Times;Serif"/>
          <w:b w:val="false"/>
          <w:i/>
          <w:caps w:val="false"/>
          <w:smallCaps w:val="false"/>
          <w:sz w:val="20"/>
        </w:rPr>
        <w:t>Item 3. Key Information — D. Risk Factors — Risks Related to Doing Business in China</w:t>
      </w:r>
      <w:r>
        <w:rPr>
          <w:rFonts w:ascii="Times New Roman;Times;Serif" w:hAnsi="Times New Roman;Times;Serif"/>
          <w:b w:val="false"/>
          <w:i w:val="false"/>
          <w:caps w:val="false"/>
          <w:smallCaps w:val="false"/>
          <w:sz w:val="20"/>
        </w:rPr>
        <w:t>”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Ordinary Shares involves a high degree of risk. Before buying any Ordinary Shares, you should carefully read the discussion of material risks of investing in our Ordinary Shares in “Risk Factors” section of this prospectus and as set forth in our 2025 Annual Report, in other reports incorporated herein by reference, and in the applicable prospectus supplement before you make your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certain legal and operational risks associated with being based in China, which could cause the value of our securities to become worthless. PRC laws and regulations governing our current business operations are sometimes vague and uncertain, and as a result these risks may result in material changes in the operations of the PRC subsidiaries, significant depreciation of the value of our Ordinary Shares, or a complete hindrance of our ability to offer, or continue to offer, our securities to investors. Recently, the PRC government adopted a series of regulatory actions and issued statements to regulate business operations in China, including cracking down on illegal activities in the securities market, adopting new measures to extend the scope of cybersecurity reviews, and expanding the efforts in anti-monopoly enforcement. As of the date of this prospectus, neither we nor our subsidiaries have been involved in any investigations on cybersecurity review initiated by any PRC regulatory authority, nor has any of them received any inquiry, notice, or sanction. </w:t>
      </w:r>
      <w:r>
        <w:rPr>
          <w:rFonts w:ascii="Times New Roman;Times;Serif" w:hAnsi="Times New Roman;Times;Serif"/>
          <w:b w:val="false"/>
          <w:i w:val="false"/>
          <w:caps w:val="false"/>
          <w:smallCaps w:val="false"/>
          <w:color w:val="000000"/>
          <w:sz w:val="20"/>
        </w:rPr>
        <w:t>As confirmed by our PRC counsel, ANLI Partners Law Offices, LLP (Tianjin), and following our internal compliance review, we have determined that, as of the date of this statement, we are not subject to any mandatory filing or application requirement for a cybersecurity review under the Measures for Cybersecurity Review (effective February 15, 2022). Our determination is based on the following considerations: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Overseas Listing Review. Article 7 of the Measures for Cybersecurity Review provides that a network platform operator that processes the personal information of more than one million users must apply for a cybersecurity review before conducting an overseas listing. We currently do not process the personal information of more than one million users and do not anticipate reaching this threshold in the foreseeable future. Accordingly, we do not currently fall within the scope of the mandatory cybersecurity review requirement under Article 7.</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National Security Considerations. Article 2 of the Measures for Cybersecurity Review provides that network platform operators that conduct data processing activities that affect or may affect national security are subject to cybersecurity review in accordance with the Measures. Based on our current assessment of our data processing activities, we do not believe that we currently process data or engage in data processing activities that would cause us to fall within this provision or otherwise give rise to a cybersecurity review on national security grounds.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 Cross-Border Data Transfers. We currently do not provide personal information or important data to entities or recipients outside China. If we engage in cross-border data transfers in the future, we will assess the applicable regulatory requirements based on the volume and nature of the data being transferred. In particular, under the Security Assessment of Outbound Data Transfer (Third Edition), a non-critical information infrastructure operator that transfers data overseas may be required to apply for a data export security assessment if, during the period beginning January 1 of the relevant year, it has cumulatively transferred the personal information of more than one million individuals (excluding sensitive personal information) or more than 10,000 individuals’ sensitive personal information, as applicable. We currently do not process personal information or sensitive personal information in amounts exceeding these thresholds, nor do we anticipate reaching such thresholds in the foreseeable future. In addition, pursuant to Article 7 of the Measures for the Certification of the Outbound Transfer of Personal Information and Article 35 of the Regulation on Network Data Security Management, where applicable, compliance with the relevant requirements may be satisfied through personal information protection certification or standard contractual arrangements, rather than necessarily requiring a data export security assessment in all circumstances.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F9ED5"/>
          <w:sz w:val="20"/>
        </w:rPr>
      </w:pPr>
      <w:r>
        <w:rPr>
          <w:rFonts w:ascii="Times New Roman;Times;Serif" w:hAnsi="Times New Roman;Times;Serif"/>
          <w:b w:val="false"/>
          <w:i w:val="false"/>
          <w:caps w:val="false"/>
          <w:smallCaps w:val="false"/>
          <w:color w:val="000000"/>
          <w:sz w:val="20"/>
        </w:rPr>
        <w:t>4.</w:t>
      </w:r>
      <w:r>
        <w:rPr>
          <w:rFonts w:ascii="Times New Roman;Times;Serif" w:hAnsi="Times New Roman;Times;Serif"/>
          <w:b w:val="false"/>
          <w:i w:val="false"/>
          <w:caps w:val="false"/>
          <w:smallCaps w:val="false"/>
          <w:color w:val="0F9ED5"/>
          <w:sz w:val="20"/>
        </w:rPr>
        <w:t xml:space="preserve"> </w:t>
      </w:r>
      <w:r>
        <w:rPr>
          <w:rFonts w:ascii="Times New Roman;Times;Serif" w:hAnsi="Times New Roman;Times;Serif"/>
          <w:b w:val="false"/>
          <w:i w:val="false"/>
          <w:caps w:val="false"/>
          <w:smallCaps w:val="false"/>
          <w:color w:val="000000"/>
          <w:sz w:val="20"/>
        </w:rPr>
        <w:t>Compliance with the Regulation on Network Data Security Management. The Regulations on Network Data Security Management became effective on January 1, 2025, replacing the prior draft regulations issued for public consultation. We have conducted a comprehensive assessment of our compliance with the Regulations on Network Data Security Management and based on our current business activities and data processing practices, have determined that we do not currently fall within the scope of any mandatory requirements thereunder that would require a filing, application, assessment, or other regulatory action.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legal opinion provided by our Chinese legal counsel, ANLI Partners Law Offices, LLP (Tianjin), China has established a comprehensive regulatory framework governing cybersecurity, data security, personal information protection, and cross-border data transfers. This framework includes, among other laws and regulations, the Cybersecurity Law, Data Security Law, Personal Information Protection Law, Regulation on Protecting the Security of Critical Information Infrastructure,Regulation on Network Data Security Management, Measures for the Security Assessment of Outbound Data Transfer, Measures for the Standard Contract for the Outbound Transfer of Personal Information,Measures for the Certification of the Outbound Transfer of Personal Information,Provisions on Promoting and Regulating Cross-border Data Flow, Security Assessment of Outbound Data Transfer (Third Edition), etc. The regulatory environment in China has become increasingly stringent, with heightened regulatory scrutiny and enforcement and potentially significant legal liabilities for non-compliance. Accordingly, we will continue to monitor key compliance indicators, including the number of users whose personal information we process, the nature and volume of data we process, and any requirements relating to cross-border data transfers. We understand that, if our data processing activities in the future involve important data or personal information in amounts or circumstances that meet applicable statutory or regulatory thresholds, or otherwise fall within the scope of any mandatory cybersecurity, data export, or other regulatory review, we will take such actions as may be necessary to satisfy the applicable filing, application, assessment, certification, contractual, or other compliance requirements. We will continue to monitor developments in applicable PRC laws and regulations and take appropriate measures to ensure that our business operations and any securities offering or listing process comply with applicable requirements, we are not subject to cybersecurity review with the Cyberspace Administration of China, or the CAC, under the Measures for Cybersecurity Censorship which became effective on February 15, 2022, since we currently do not have over one million users’ personal information and do not anticipate that we will be collecting over one million users’ personal information in the foreseeable future, which we understand might otherwise subject us to the Measures for Cybersecurity Censorship; we are also not subject to network data security review by the CAC under the Regulation on Network Data Security Management, which became effective on January 1, 2025, since we currently do not have over one million users’ personal information and do not collect data that affects or may affect national security and we do not anticipate that we will be collecting over one million users’ personal information or data that affects or may affect national security in the foreseeable future, which we understand might otherwise subject us to the Regulation on Network Data Security Management. See “</w:t>
      </w:r>
      <w:r>
        <w:rPr>
          <w:rFonts w:ascii="Times New Roman;Times;Serif" w:hAnsi="Times New Roman;Times;Serif"/>
          <w:b w:val="false"/>
          <w:i/>
          <w:caps w:val="false"/>
          <w:smallCaps w:val="false"/>
          <w:sz w:val="20"/>
        </w:rPr>
        <w:t>Item 3. Key Information — D. Risk Factors — Risks Related to Doing Business in China — Recent greater oversight by the Cyberspace Administration of China, or the CAC over data security, particularly for companies seeking to list on a foreign exchange, could adversely impact our business and our offering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February 17, 2023, the China Securities Regulatory Commission (the “CSRC”) released the Trial Administrative Measures of Overseas Securities Offering and Listing by Domestic Companies (the “Trial Measures”) and five supporting guidelines, which took effect on March 31, 2023. Pursuant to the Trial Measures, if a domestic company fails to complete required filing procedures or conceals any material fact or falsifies any major content in its filing documents, such domestic company may be subject to administrative penalties, such as an order to rectify, warnings, fines, and its controlling shareholders, actual controllers, the person directly in charge and other directly liable persons may also be subject to administrative penalties, such as warnings and fines. On the same day, the CSRC also held a press conference for the release of the Trial Measures and issued the Notice on Administration for the Filing of Overseas Offering and Listing by Domestic Companies, or the CSRC Notice, which, among others, clarifies that PRC domestic companies that have already been listed overseas before the effective date of the Trial Measures, which is March 31, 2023, shall be deemed as Existing Issuers, and Existing Issuers are not required to complete the filing procedures with the CSRC immediately, and they shall be required to file with the CSRC for any subsequent offerings. Based on the foregoing, we are an Existing Issuer, and is required to file with the CSRC for any subsequent offerings within three (3) working days after the completion of each offering. Therefore, we are required to go through filing procedures through our major operating entity incorporated in the PRC with the CSRC within three (3) working days after the completion of an offering pursuant to any accompanying prospectus supplement, and prepare a summary report to the CSRC after the completion of all offerings under this prospectus. We intend to comply with the Trial Measures for subsequent offerings under this registration statement on Form F-3. Other than the CSRC filing procedures we are required to make within three working days after the completion of an offering made pursuant to this prospectus or any accompanying prospectus supplement, we and our PRC subsidiaries,based upon the legal opinion provided by our PRC legal counsel, ANLI Partners Law Offices, LLP (Tianjin), and in light of applicable PRC policies and regulatory provisions, it is concluded that, (1) are not required to obtain permissions from the CSRC, and (2) have not been required to obtain or denied such and other permissions by the CSRC, CAC, or any PRC government authority, under current PRC laws, regulations and rules in connection with a potential offering made pursuant to this prospectus or any accompanying prospectus supplement as of the date of this prospectus. See “</w:t>
      </w:r>
      <w:r>
        <w:rPr>
          <w:rFonts w:ascii="Times New Roman;Times;Serif" w:hAnsi="Times New Roman;Times;Serif"/>
          <w:b w:val="false"/>
          <w:i/>
          <w:caps w:val="false"/>
          <w:smallCaps w:val="false"/>
          <w:sz w:val="20"/>
        </w:rPr>
        <w:t>Item 3. Key Information — D. Risk Factors — Risks Related to Doing Business in China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the Chinese government has strengthened its anti-monopoly supervision, mainly in three aspects: (i) establishing the National Anti-Monopoly Bureau; (ii) revising and promulgating anti-monopoly laws and regulations, including: the Anti-Monopoly Law of the PRC (amended on June 24, 2022 and effective on August 1, 2022), the anti-monopoly guidelines for various industries, and the Detailed Rules for the Implementation of the Fair Competition Review System; and (iii) expanding the anti-monopoly law enforcement targeting Internet companies and large enterprises. As of the date of this prospectus, the Chinese government’s recent statements and regulatory actions related to anti-monopoly concerns have not impacted our or our subsidiaries’ ability to conduct business, our ability to accept foreign investments or issue our securities to foreign investors because neither we nor our subsidiaries engage in monopolistic behaviors that are subject to these statements or regulatory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and our subsidiaries have received from PRC authorities all requisite licenses, permissions, and approvals needed to engage in the businesses currently conducted in the PRC, and no permission or approval has been denied. However, we cannot assure you that we will be able to receive clearance of any compliance requirements imposed on us in a timely manner, or at all. Any failure to fully comply with such compliance requirements may cause our PRC subsidiaries to be unable to conduct their businesses or operations in the PRC, subject them to fines, business suspension, or other sanctions. See “</w:t>
      </w:r>
      <w:r>
        <w:rPr>
          <w:rFonts w:ascii="Times New Roman;Times;Serif" w:hAnsi="Times New Roman;Times;Serif"/>
          <w:b w:val="false"/>
          <w:i/>
          <w:caps w:val="false"/>
          <w:smallCaps w:val="false"/>
          <w:sz w:val="20"/>
        </w:rPr>
        <w:t>Prospectus Summary — Permissions Required from PRC Authorities</w:t>
      </w:r>
      <w:r>
        <w:rPr>
          <w:rFonts w:ascii="Times New Roman;Times;Serif" w:hAnsi="Times New Roman;Times;Serif"/>
          <w:b w:val="false"/>
          <w:i w:val="false"/>
          <w:caps w:val="false"/>
          <w:smallCaps w:val="false"/>
          <w:sz w:val="20"/>
        </w:rPr>
        <w: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Ordinary Shares may be prohibited from trading on a national exchange or over-the-counter under the Holding Foreign Companies Accountable Act (the “HFCA Act”) if the Public Company Accounting Oversight Board (United States) (the “PCAOB”) is unable to inspect our auditors for two consecutive years. Our auditor, GGF CPA LTD, headquartered in Guangzhou, China, has been inspected by the PCAOB on a regular basis and it is not subject to the determinations announced by the PCAOB on December 16, 2021. If trading in our Ordinary Shares is prohibited under the HFCA Act in the future because the PCAOB determines that it cannot inspect or fully investigate our auditor at such future time, Nasdaq may determine to delist or prohibit the trading of our Ordinary Shares.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U.S. Securities and Exchange Commission (the “SEC”) to prohibit an issuer’s securities from trading on any U.S. stock exchanges if its auditor is not subject to PCAOB inspections for two consecutive years instead of three, thus reducing the time period for triggering the delisting of our Company and the prohibition of trading in our securities if the PCAOB is unable to inspect our accounting firm at such future time. If trading in the Ordinary Shares is prohibited under the HFCA Act in the future because the PCAOB determines that it cannot inspect or fully investigate our auditor at such future time, Nasdaq may determine to delist our Ordinary Shares and trading in our Ordinary Shares could be prohibited. See “</w:t>
      </w:r>
      <w:r>
        <w:rPr>
          <w:rFonts w:ascii="Times New Roman;Times;Serif" w:hAnsi="Times New Roman;Times;Serif"/>
          <w:b w:val="false"/>
          <w:i/>
          <w:caps w:val="false"/>
          <w:smallCaps w:val="false"/>
          <w:sz w:val="20"/>
        </w:rPr>
        <w:t xml:space="preserve">Item 3. Key Information — D. Risk Factors — Risks Related to Doing Business in China—Our Ordinary Shares may be delisted and prohibited from being traded under the Holding Foreign Companies Accountable Act if the PCAOB is unable to inspect our auditors. The delisting and the cessation of trading of our Ordinary Shares, or the treat of their being delisted and prohibited from being traded, may materially and adversely affect the value of your investment. Additionally, any inability of the PCAOB to conduct inspections deprives our investors with the benefits of such inspections.”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have a cash management policy in place that dictates how funds are transferred between us and our subsidiaries, or investors. We are a holding company, and we may rely on dividends and other distributions on equity paid by our PRC subsidiaries for our cash and financing requirements, including the furnishing of funds necessary to pay dividends and other cash distributions to our shareholders or to service any debt we may incur. If any of our PRC subsidiaries incurs debt on its own behalf in the future, the instruments governing such debt may restrict their ability to pay dividends to us. There have not been any such dividends or other distributions from our PRC subsidiaries to our subsidiaries located outside of China, as of the date of this prospectus. In addition, as of the date of this prospectus, none of our subsidiaries have ever issued any dividends or distributions to us or their respective shareholders outside of China, and neither we nor any of our subsidiaries have ever paid dividends or made distributions to U.S. investors. Other than the following transactions, no cash transfers have occurred among us and our subsidiaries: (i) our Hong Kong subsidiary, Baosheng Media Group (Hong Kong) Holdings Limited, or Baosheng Hong Kong, received cash of $38.3 million from us, which represented proceeds raised in the initial public offering of our Ordinary Shares in February 2021, and the private placement of our Ordinary Shares and warrants in March 2021, (ii) on March 16, 2021, Baosheng Hong Kong transferred cash of $6 million, in the form of shareholder loans, to its wholly owned subsidiary, Beijing Baosheng, (iii) in April 2021 and August 2021, Baosheng Hong Kong transferred cash in the aggregate of $30.79 million, in the form of capital contributions, to its wholly owned subsidiary, Beijing Baosheng Network Technology Co., Ltd., or Baosheng Network, and (iv) in 2023, Baosheng Hong Kong transferred cash in the aggregate of $350,000 to the Company. In the future, cash proceeds raised from overseas financing activities may be transferred by us to our PRC subsidiaries by means of capital contributions or shareholder loans, as the case may be. Notwithstanding the recent judgment against Beijing Baosheng, described more particularly under “</w:t>
      </w:r>
      <w:r>
        <w:rPr>
          <w:rFonts w:ascii="Times New Roman;Times;Serif" w:hAnsi="Times New Roman;Times;Serif"/>
          <w:b w:val="false"/>
          <w:i/>
          <w:caps w:val="false"/>
          <w:smallCaps w:val="false"/>
          <w:sz w:val="20"/>
        </w:rPr>
        <w:t>Item 4. Information on the Company — B. Business Overview — Legal Proceedings</w:t>
      </w:r>
      <w:r>
        <w:rPr>
          <w:rFonts w:ascii="Times New Roman;Times;Serif" w:hAnsi="Times New Roman;Times;Serif"/>
          <w:b w:val="false"/>
          <w:i w:val="false"/>
          <w:caps w:val="false"/>
          <w:smallCaps w:val="false"/>
          <w:sz w:val="20"/>
        </w:rPr>
        <w:t>” in our 2025 Annual Report for more information, we do not expect that the court’s ruling will impact the cash transferring through the organization. See “I</w:t>
      </w:r>
      <w:r>
        <w:rPr>
          <w:rFonts w:ascii="Times New Roman;Times;Serif" w:hAnsi="Times New Roman;Times;Serif"/>
          <w:b w:val="false"/>
          <w:i/>
          <w:caps w:val="false"/>
          <w:smallCaps w:val="false"/>
          <w:sz w:val="20"/>
        </w:rPr>
        <w:t>tem 18. Financial Statements</w:t>
      </w:r>
      <w:r>
        <w:rPr>
          <w:rFonts w:ascii="Times New Roman;Times;Serif" w:hAnsi="Times New Roman;Times;Serif"/>
          <w:b w:val="false"/>
          <w:i w:val="false"/>
          <w:caps w:val="false"/>
          <w:smallCaps w:val="false"/>
          <w:sz w:val="20"/>
        </w:rPr>
        <w:t>” starting on page F-1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Foreign Investment Law of the People’s Republic of China and its implementing rules, which jointly established the legal framework for the administration of foreign-invested companies, a foreign investor may, in accordance with other applicable laws, freely transfer into or out of China its contributions, profits, capital earnings, income from asset disposal, intellectual property rights, royalties acquired, compensation or indemnity legally obtained, and income from liquidation, made or derived within the territory of China in RMB or any foreign currency, and any entity or individual shall not illegally restrict such transfer in terms of the currency, amount and frequency. According to the Company Law of the People’s Republic of China and other Chinese laws and regulations, our PRC subsidiaries may pay dividends only out of their respective accumulated profits as determined in accordance with Chinese accounting standards and regulations. In addition, each of our PRC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PRC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PRC subsidiaries may allocate a portion of their after-tax profits based on Chinese accounting standards to a discretionary reserve fund. See “</w:t>
      </w:r>
      <w:r>
        <w:rPr>
          <w:rFonts w:ascii="Times New Roman;Times;Serif" w:hAnsi="Times New Roman;Times;Serif"/>
          <w:b w:val="false"/>
          <w:i/>
          <w:caps w:val="false"/>
          <w:smallCaps w:val="false"/>
          <w:sz w:val="20"/>
        </w:rPr>
        <w:t>Item 3. Key Information — D. Risk Factors —Risks Related to Doing Business in China—We may rely on dividends paid by our subsidiaries for our cash needs, and any limitation on the ability of our subsidiaries to make payments to us could have a material adverse effect on our ability to conduct business</w:t>
      </w:r>
      <w:r>
        <w:rPr>
          <w:rFonts w:ascii="Times New Roman;Times;Serif" w:hAnsi="Times New Roman;Times;Serif"/>
          <w:b w:val="false"/>
          <w:i w:val="false"/>
          <w:caps w:val="false"/>
          <w:smallCaps w:val="false"/>
          <w:sz w:val="20"/>
        </w:rPr>
        <w:t>” on page 30 of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Renminbi is not freely convertible into other currencies. As a result, any restriction on currency exchange may limit the ability of our PRC operating subsidiaries to use their potential future Renminbi revenues to pay dividends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our offshore entities for our offshore entities to pay dividends or make other payments or otherwise to satisfy our foreign-currency-denominated obligations. The Renminbi is currently convertible under the “current account,” which includes dividends, trade and service-related foreign exchange transactions, but not under the “capital account,” which includes foreign direct investment and foreign currency debt, including loans we may secure for our onshore subsidiaries. Currently, our PRC subsidiaries may purchase foreign currency for settlement of “current account transactions,” including payment of dividends to us, without the approval of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SAFE for cross-border transactions falling under both the current account and the capital account. Any existing and future restrictions on currency exchange may limit our ability to utilize revenue generated in Renminbi to pay dividends in foreign currencies to holders of our securities. Foreign exchange transactions under the capital account remain subject to limitations and require approvals from, or registration with, SAFE and other relevant Chinese governmental authorities. This could affect our ability to obtain foreign currency through debt or equity financing for our subsidiaries. See “</w:t>
      </w:r>
      <w:r>
        <w:rPr>
          <w:rFonts w:ascii="Times New Roman;Times;Serif" w:hAnsi="Times New Roman;Times;Serif"/>
          <w:b w:val="false"/>
          <w:i/>
          <w:caps w:val="false"/>
          <w:smallCaps w:val="false"/>
          <w:sz w:val="20"/>
        </w:rPr>
        <w:t>Item 3. Key Information — D. Risk Factors — Risks Related to Doing Business in China — We may rely on dividends paid by our subsidiaries for our cash needs, and any limitation on the ability of our subsidiaries to make payments to us could have a material adverse effect on our ability to conduct business</w:t>
      </w:r>
      <w:r>
        <w:rPr>
          <w:rFonts w:ascii="Times New Roman;Times;Serif" w:hAnsi="Times New Roman;Times;Serif"/>
          <w:b w:val="false"/>
          <w:i w:val="false"/>
          <w:caps w:val="false"/>
          <w:smallCaps w:val="false"/>
          <w:sz w:val="20"/>
        </w:rPr>
        <w:t>” for a detailed discussion of the Chinese legal restrictions on the payment of dividends and our ability to transfer cash within our group. In addition, holders of our Ordinary Shares may potentially be subject to Chinese taxes on dividends paid by us in the event we are deemed a Chinese resident enterprise for Chinese tax purposes. See “</w:t>
      </w:r>
      <w:r>
        <w:rPr>
          <w:rFonts w:ascii="Times New Roman;Times;Serif" w:hAnsi="Times New Roman;Times;Serif"/>
          <w:b w:val="false"/>
          <w:i/>
          <w:caps w:val="false"/>
          <w:smallCaps w:val="false"/>
          <w:sz w:val="20"/>
        </w:rPr>
        <w:t>Item 3. Key Information — D. Risk Factors — Risks Related to Doing Business in China — You may be subject to PRC income tax on dividends from us or on any gain realized on the transfer of our Ordinary Shares</w:t>
      </w:r>
      <w:r>
        <w:rPr>
          <w:rFonts w:ascii="Times New Roman;Times;Serif" w:hAnsi="Times New Roman;Times;Serif"/>
          <w:b w:val="false"/>
          <w:i w:val="false"/>
          <w:caps w:val="false"/>
          <w:smallCaps w:val="false"/>
          <w:sz w:val="20"/>
        </w:rPr>
        <w:t>.” in our 2025 Annual Report.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For detailed discussions, see “</w:t>
      </w:r>
      <w:r>
        <w:rPr>
          <w:rFonts w:ascii="Times New Roman;Times;Serif" w:hAnsi="Times New Roman;Times;Serif"/>
          <w:b w:val="false"/>
          <w:i/>
          <w:caps w:val="false"/>
          <w:smallCaps w:val="false"/>
          <w:sz w:val="20"/>
        </w:rPr>
        <w:t>Prospectus Summary—Dividends and Other Distributions</w:t>
      </w:r>
      <w:r>
        <w:rPr>
          <w:rFonts w:ascii="Times New Roman;Times;Serif" w:hAnsi="Times New Roman;Times;Serif"/>
          <w:b w:val="false"/>
          <w:i w:val="false"/>
          <w:caps w:val="false"/>
          <w:smallCaps w:val="false"/>
          <w:sz w:val="20"/>
        </w:rPr>
        <w:t>” on page 16 of this prospectus and “</w:t>
      </w:r>
      <w:r>
        <w:rPr>
          <w:rFonts w:ascii="Times New Roman;Times;Serif" w:hAnsi="Times New Roman;Times;Serif"/>
          <w:b w:val="false"/>
          <w:i/>
          <w:caps w:val="false"/>
          <w:smallCaps w:val="false"/>
          <w:sz w:val="20"/>
        </w:rPr>
        <w:t>Item 3. Key Information — D. Risk Factors — Risks Related to Doing Business in China ——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w:t>
      </w:r>
      <w:r>
        <w:rPr>
          <w:rFonts w:ascii="Times New Roman;Times;Serif" w:hAnsi="Times New Roman;Times;Serif"/>
          <w:b w:val="false"/>
          <w:i w:val="false"/>
          <w:caps w:val="false"/>
          <w:smallCaps w:val="false"/>
          <w:sz w:val="20"/>
        </w:rPr>
        <w:t>”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that term is used in the Jumpstart Our Business Startups Act of 2012, as amended, or the “JOBS Act,” and, as such, we have elected to comply with certain reduced public company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We will provide the specific terms of the securities offered in one or more supplements to this prospectus. We may also authorize one or more free writing prospectuses to be provided to you in connection with these offerings. The prospectus supplement and any related free writing prospectus may add, update, or change information contained in this prospectus. You should read carefully this prospectus, the applicable prospectus supplement, and any related free writing prospectus, as well as the documents incorporated or deemed to be incorporated by reference, before you invest in any of our securities. </w:t>
      </w:r>
      <w:r>
        <w:rPr>
          <w:rFonts w:ascii="Times New Roman;Times;Serif" w:hAnsi="Times New Roman;Times;Serif"/>
          <w:b/>
          <w:i w:val="false"/>
          <w:caps w:val="false"/>
          <w:smallCaps w:val="false"/>
          <w:sz w:val="20"/>
        </w:rPr>
        <w:t>The Company may not use this prospectus to offer or sell any securities unless accompanied by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and sell these securities through public or private transactions, directly or through one or more underwriters, dealers, brokers and agents, on or off the Nasdaq Capital Market, or Nasdaq, at prevailing market prices or at privately negotiated prices. If any underwriters, dealers, brokers or agents are involved in the sale of any of these securities, the applicable prospectus supplement will set forth the name of the underwriter, dealer, broker or agent and any applicable commissions or discounts. The offering price of such securities and the net proceeds we expect to receive from such sale will also be set forth in a prospectus supplement.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elsewhere in this prospectus for a more complete description of the ways in which the securities may be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including, but not limited to, various legal and operational risks as a result of having the majority of our operations in China. Before making an investment decision, please read the information under the heading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27 of this prospectus and risk factors set forth in our 2025 Annual Report, in other reports incorporated herein by reference, and in an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date of this prospectus is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4685"/>
        <w:gridCol w:w="515"/>
      </w:tblGrid>
      <w:tr>
        <w:trPr/>
        <w:tc>
          <w:tcPr>
            <w:tcW w:w="4685" w:type="dxa"/>
            <w:tcBorders/>
            <w:vAlign w:val="center"/>
          </w:tcPr>
          <w:p>
            <w:pPr>
              <w:pStyle w:val="TableContents"/>
              <w:bidi w:val="0"/>
              <w:spacing w:before="0" w:after="283"/>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Page</w:t>
            </w:r>
            <w:r>
              <w:rPr/>
              <w:t> </w:t>
            </w:r>
          </w:p>
        </w:tc>
      </w:tr>
      <w:tr>
        <w:trPr/>
        <w:tc>
          <w:tcPr>
            <w:tcW w:w="4685" w:type="dxa"/>
            <w:tcBorders/>
            <w:shd w:fill="CCEEFF" w:val="clear"/>
            <w:vAlign w:val="center"/>
          </w:tcPr>
          <w:p>
            <w:pPr>
              <w:pStyle w:val="TableContents"/>
              <w:bidi w:val="0"/>
              <w:spacing w:before="0" w:after="283"/>
              <w:jc w:val="left"/>
              <w:rPr/>
            </w:pPr>
            <w:hyperlink w:anchor="sp1a_001">
              <w:r>
                <w:rPr>
                  <w:rStyle w:val="InternetLink"/>
                  <w:rFonts w:ascii="Times New Roman;Times;Serif" w:hAnsi="Times New Roman;Times;Serif"/>
                  <w:sz w:val="20"/>
                </w:rPr>
                <w:t>About this Prospectus</w:t>
              </w:r>
            </w:hyperlink>
          </w:p>
        </w:tc>
        <w:tc>
          <w:tcPr>
            <w:tcW w:w="515" w:type="dxa"/>
            <w:tcBorders/>
            <w:shd w:fill="CCEEFF" w:val="clear"/>
            <w:vAlign w:val="center"/>
          </w:tcPr>
          <w:p>
            <w:pPr>
              <w:pStyle w:val="TableContents"/>
              <w:bidi w:val="0"/>
              <w:spacing w:before="0" w:after="283"/>
              <w:jc w:val="right"/>
              <w:rPr/>
            </w:pPr>
            <w:hyperlink w:anchor="sp1a_001">
              <w:r>
                <w:rPr>
                  <w:rStyle w:val="InternetLink"/>
                  <w:rFonts w:ascii="Times New Roman;Times;Serif" w:hAnsi="Times New Roman;Times;Serif"/>
                  <w:sz w:val="20"/>
                </w:rPr>
                <w:t>8</w:t>
              </w:r>
            </w:hyperlink>
          </w:p>
        </w:tc>
      </w:tr>
      <w:tr>
        <w:trPr/>
        <w:tc>
          <w:tcPr>
            <w:tcW w:w="4685" w:type="dxa"/>
            <w:tcBorders/>
            <w:shd w:fill="FFFFFF" w:val="clear"/>
            <w:vAlign w:val="center"/>
          </w:tcPr>
          <w:p>
            <w:pPr>
              <w:pStyle w:val="TableContents"/>
              <w:bidi w:val="0"/>
              <w:spacing w:before="0" w:after="283"/>
              <w:jc w:val="left"/>
              <w:rPr/>
            </w:pPr>
            <w:hyperlink w:anchor="sp_001">
              <w:r>
                <w:rPr>
                  <w:rStyle w:val="InternetLink"/>
                  <w:rFonts w:ascii="Times New Roman;Times;Serif" w:hAnsi="Times New Roman;Times;Serif"/>
                  <w:sz w:val="20"/>
                </w:rPr>
                <w:t>Cautionary Note Regarding Forward-Looking Statements</w:t>
              </w:r>
            </w:hyperlink>
          </w:p>
        </w:tc>
        <w:tc>
          <w:tcPr>
            <w:tcW w:w="515" w:type="dxa"/>
            <w:tcBorders/>
            <w:shd w:fill="FFFFFF" w:val="clear"/>
            <w:vAlign w:val="center"/>
          </w:tcPr>
          <w:p>
            <w:pPr>
              <w:pStyle w:val="TableContents"/>
              <w:bidi w:val="0"/>
              <w:spacing w:before="0" w:after="283"/>
              <w:jc w:val="right"/>
              <w:rPr/>
            </w:pPr>
            <w:hyperlink w:anchor="sp_001">
              <w:r>
                <w:rPr>
                  <w:rStyle w:val="InternetLink"/>
                  <w:rFonts w:ascii="Times New Roman;Times;Serif" w:hAnsi="Times New Roman;Times;Serif"/>
                  <w:sz w:val="20"/>
                </w:rPr>
                <w:t>11</w:t>
              </w:r>
            </w:hyperlink>
          </w:p>
        </w:tc>
      </w:tr>
      <w:tr>
        <w:trPr/>
        <w:tc>
          <w:tcPr>
            <w:tcW w:w="4685" w:type="dxa"/>
            <w:tcBorders/>
            <w:shd w:fill="CCEEFF" w:val="clear"/>
            <w:vAlign w:val="center"/>
          </w:tcPr>
          <w:p>
            <w:pPr>
              <w:pStyle w:val="TableContents"/>
              <w:bidi w:val="0"/>
              <w:spacing w:before="0" w:after="283"/>
              <w:jc w:val="left"/>
              <w:rPr/>
            </w:pPr>
            <w:hyperlink w:anchor="sp_021">
              <w:r>
                <w:rPr>
                  <w:rStyle w:val="InternetLink"/>
                  <w:rFonts w:ascii="Times New Roman;Times;Serif" w:hAnsi="Times New Roman;Times;Serif"/>
                  <w:sz w:val="20"/>
                </w:rPr>
                <w:t>Prospectus Summary</w:t>
              </w:r>
            </w:hyperlink>
          </w:p>
        </w:tc>
        <w:tc>
          <w:tcPr>
            <w:tcW w:w="515" w:type="dxa"/>
            <w:tcBorders/>
            <w:shd w:fill="CCEEFF" w:val="clear"/>
            <w:vAlign w:val="center"/>
          </w:tcPr>
          <w:p>
            <w:pPr>
              <w:pStyle w:val="TableContents"/>
              <w:bidi w:val="0"/>
              <w:spacing w:before="0" w:after="283"/>
              <w:jc w:val="right"/>
              <w:rPr/>
            </w:pPr>
            <w:hyperlink w:anchor="sp_021">
              <w:r>
                <w:rPr>
                  <w:rStyle w:val="InternetLink"/>
                  <w:rFonts w:ascii="Times New Roman;Times;Serif" w:hAnsi="Times New Roman;Times;Serif"/>
                  <w:sz w:val="20"/>
                </w:rPr>
                <w:t>12</w:t>
              </w:r>
            </w:hyperlink>
          </w:p>
        </w:tc>
      </w:tr>
      <w:tr>
        <w:trPr/>
        <w:tc>
          <w:tcPr>
            <w:tcW w:w="4685" w:type="dxa"/>
            <w:tcBorders/>
            <w:shd w:fill="FFFFFF" w:val="clear"/>
            <w:vAlign w:val="center"/>
          </w:tcPr>
          <w:p>
            <w:pPr>
              <w:pStyle w:val="TableContents"/>
              <w:bidi w:val="0"/>
              <w:spacing w:before="0" w:after="283"/>
              <w:jc w:val="left"/>
              <w:rPr/>
            </w:pPr>
            <w:hyperlink w:anchor="sp_004">
              <w:r>
                <w:rPr>
                  <w:rStyle w:val="InternetLink"/>
                  <w:rFonts w:ascii="Times New Roman;Times;Serif" w:hAnsi="Times New Roman;Times;Serif"/>
                  <w:sz w:val="20"/>
                </w:rPr>
                <w:t>Risk Factors</w:t>
              </w:r>
            </w:hyperlink>
          </w:p>
        </w:tc>
        <w:tc>
          <w:tcPr>
            <w:tcW w:w="515" w:type="dxa"/>
            <w:tcBorders/>
            <w:shd w:fill="FFFFFF" w:val="clear"/>
            <w:vAlign w:val="center"/>
          </w:tcPr>
          <w:p>
            <w:pPr>
              <w:pStyle w:val="TableContents"/>
              <w:bidi w:val="0"/>
              <w:spacing w:before="0" w:after="283"/>
              <w:jc w:val="right"/>
              <w:rPr/>
            </w:pPr>
            <w:hyperlink w:anchor="sp_004">
              <w:r>
                <w:rPr>
                  <w:rStyle w:val="InternetLink"/>
                  <w:rFonts w:ascii="Times New Roman;Times;Serif" w:hAnsi="Times New Roman;Times;Serif"/>
                  <w:sz w:val="20"/>
                </w:rPr>
                <w:t>27</w:t>
              </w:r>
            </w:hyperlink>
          </w:p>
        </w:tc>
      </w:tr>
      <w:tr>
        <w:trPr/>
        <w:tc>
          <w:tcPr>
            <w:tcW w:w="4685" w:type="dxa"/>
            <w:tcBorders/>
            <w:shd w:fill="CCEEFF" w:val="clear"/>
            <w:vAlign w:val="center"/>
          </w:tcPr>
          <w:p>
            <w:pPr>
              <w:pStyle w:val="TableContents"/>
              <w:bidi w:val="0"/>
              <w:spacing w:before="0" w:after="283"/>
              <w:jc w:val="left"/>
              <w:rPr/>
            </w:pPr>
            <w:hyperlink w:anchor="sp_005">
              <w:r>
                <w:rPr>
                  <w:rStyle w:val="InternetLink"/>
                  <w:rFonts w:ascii="Times New Roman;Times;Serif" w:hAnsi="Times New Roman;Times;Serif"/>
                  <w:sz w:val="20"/>
                </w:rPr>
                <w:t>Capitalization and Indebtness</w:t>
              </w:r>
            </w:hyperlink>
          </w:p>
        </w:tc>
        <w:tc>
          <w:tcPr>
            <w:tcW w:w="515" w:type="dxa"/>
            <w:tcBorders/>
            <w:shd w:fill="CCEEFF" w:val="clear"/>
            <w:vAlign w:val="center"/>
          </w:tcPr>
          <w:p>
            <w:pPr>
              <w:pStyle w:val="TableContents"/>
              <w:bidi w:val="0"/>
              <w:spacing w:before="0" w:after="283"/>
              <w:jc w:val="right"/>
              <w:rPr/>
            </w:pPr>
            <w:hyperlink w:anchor="sp_005">
              <w:r>
                <w:rPr>
                  <w:rStyle w:val="InternetLink"/>
                </w:rPr>
                <w:t>27</w:t>
              </w:r>
            </w:hyperlink>
          </w:p>
        </w:tc>
      </w:tr>
      <w:tr>
        <w:trPr/>
        <w:tc>
          <w:tcPr>
            <w:tcW w:w="4685" w:type="dxa"/>
            <w:tcBorders/>
            <w:shd w:fill="FFFFFF" w:val="clear"/>
            <w:vAlign w:val="center"/>
          </w:tcPr>
          <w:p>
            <w:pPr>
              <w:pStyle w:val="TableContents"/>
              <w:bidi w:val="0"/>
              <w:spacing w:before="0" w:after="283"/>
              <w:jc w:val="left"/>
              <w:rPr/>
            </w:pPr>
            <w:hyperlink w:anchor="sp_006">
              <w:r>
                <w:rPr>
                  <w:rStyle w:val="InternetLink"/>
                  <w:rFonts w:ascii="Times New Roman;Times;Serif" w:hAnsi="Times New Roman;Times;Serif"/>
                  <w:sz w:val="20"/>
                </w:rPr>
                <w:t>Dilution</w:t>
              </w:r>
            </w:hyperlink>
          </w:p>
        </w:tc>
        <w:tc>
          <w:tcPr>
            <w:tcW w:w="515" w:type="dxa"/>
            <w:tcBorders/>
            <w:shd w:fill="FFFFFF" w:val="clear"/>
            <w:vAlign w:val="center"/>
          </w:tcPr>
          <w:p>
            <w:pPr>
              <w:pStyle w:val="TableContents"/>
              <w:bidi w:val="0"/>
              <w:spacing w:before="0" w:after="283"/>
              <w:jc w:val="right"/>
              <w:rPr/>
            </w:pPr>
            <w:hyperlink w:anchor="sp_006">
              <w:r>
                <w:rPr>
                  <w:rStyle w:val="InternetLink"/>
                </w:rPr>
                <w:t>27</w:t>
              </w:r>
            </w:hyperlink>
          </w:p>
        </w:tc>
      </w:tr>
      <w:tr>
        <w:trPr/>
        <w:tc>
          <w:tcPr>
            <w:tcW w:w="4685" w:type="dxa"/>
            <w:tcBorders/>
            <w:shd w:fill="CCEEFF" w:val="clear"/>
            <w:vAlign w:val="center"/>
          </w:tcPr>
          <w:p>
            <w:pPr>
              <w:pStyle w:val="TableContents"/>
              <w:bidi w:val="0"/>
              <w:spacing w:before="0" w:after="283"/>
              <w:jc w:val="left"/>
              <w:rPr/>
            </w:pPr>
            <w:hyperlink w:anchor="sp_007">
              <w:r>
                <w:rPr>
                  <w:rStyle w:val="InternetLink"/>
                  <w:rFonts w:ascii="Times New Roman;Times;Serif" w:hAnsi="Times New Roman;Times;Serif"/>
                  <w:sz w:val="20"/>
                </w:rPr>
                <w:t>Use of Proceeds</w:t>
              </w:r>
            </w:hyperlink>
          </w:p>
        </w:tc>
        <w:tc>
          <w:tcPr>
            <w:tcW w:w="515" w:type="dxa"/>
            <w:tcBorders/>
            <w:shd w:fill="CCEEFF" w:val="clear"/>
            <w:vAlign w:val="center"/>
          </w:tcPr>
          <w:p>
            <w:pPr>
              <w:pStyle w:val="TableContents"/>
              <w:bidi w:val="0"/>
              <w:spacing w:before="0" w:after="283"/>
              <w:jc w:val="right"/>
              <w:rPr/>
            </w:pPr>
            <w:hyperlink w:anchor="sp_007">
              <w:r>
                <w:rPr>
                  <w:rStyle w:val="InternetLink"/>
                  <w:rFonts w:ascii="Times New Roman;Times;Serif" w:hAnsi="Times New Roman;Times;Serif"/>
                  <w:sz w:val="20"/>
                </w:rPr>
                <w:t>27</w:t>
              </w:r>
            </w:hyperlink>
          </w:p>
        </w:tc>
      </w:tr>
      <w:tr>
        <w:trPr/>
        <w:tc>
          <w:tcPr>
            <w:tcW w:w="4685" w:type="dxa"/>
            <w:tcBorders/>
            <w:shd w:fill="FFFFFF" w:val="clear"/>
            <w:vAlign w:val="center"/>
          </w:tcPr>
          <w:p>
            <w:pPr>
              <w:pStyle w:val="TableContents"/>
              <w:bidi w:val="0"/>
              <w:spacing w:before="0" w:after="283"/>
              <w:jc w:val="left"/>
              <w:rPr/>
            </w:pPr>
            <w:hyperlink w:anchor="sp_008">
              <w:r>
                <w:rPr>
                  <w:rStyle w:val="InternetLink"/>
                  <w:rFonts w:ascii="Times New Roman;Times;Serif" w:hAnsi="Times New Roman;Times;Serif"/>
                  <w:sz w:val="20"/>
                </w:rPr>
                <w:t>Description of Share Capital</w:t>
              </w:r>
            </w:hyperlink>
          </w:p>
        </w:tc>
        <w:tc>
          <w:tcPr>
            <w:tcW w:w="515" w:type="dxa"/>
            <w:tcBorders/>
            <w:shd w:fill="FFFFFF" w:val="clear"/>
            <w:vAlign w:val="center"/>
          </w:tcPr>
          <w:p>
            <w:pPr>
              <w:pStyle w:val="TableContents"/>
              <w:bidi w:val="0"/>
              <w:spacing w:before="0" w:after="283"/>
              <w:jc w:val="right"/>
              <w:rPr/>
            </w:pPr>
            <w:hyperlink w:anchor="sp_008">
              <w:r>
                <w:rPr>
                  <w:rStyle w:val="InternetLink"/>
                  <w:rFonts w:ascii="Times New Roman;Times;Serif" w:hAnsi="Times New Roman;Times;Serif"/>
                  <w:sz w:val="20"/>
                </w:rPr>
                <w:t>28</w:t>
              </w:r>
            </w:hyperlink>
          </w:p>
        </w:tc>
      </w:tr>
      <w:tr>
        <w:trPr/>
        <w:tc>
          <w:tcPr>
            <w:tcW w:w="4685" w:type="dxa"/>
            <w:tcBorders/>
            <w:shd w:fill="CCEEFF" w:val="clear"/>
            <w:vAlign w:val="center"/>
          </w:tcPr>
          <w:p>
            <w:pPr>
              <w:pStyle w:val="TableContents"/>
              <w:bidi w:val="0"/>
              <w:spacing w:before="0" w:after="283"/>
              <w:jc w:val="left"/>
              <w:rPr/>
            </w:pPr>
            <w:hyperlink w:anchor="sp_009">
              <w:r>
                <w:rPr>
                  <w:rStyle w:val="InternetLink"/>
                  <w:rFonts w:ascii="Times New Roman;Times;Serif" w:hAnsi="Times New Roman;Times;Serif"/>
                  <w:sz w:val="20"/>
                </w:rPr>
                <w:t>Description of Ordinary Shares</w:t>
              </w:r>
            </w:hyperlink>
          </w:p>
        </w:tc>
        <w:tc>
          <w:tcPr>
            <w:tcW w:w="515" w:type="dxa"/>
            <w:tcBorders/>
            <w:shd w:fill="CCEEFF" w:val="clear"/>
            <w:vAlign w:val="center"/>
          </w:tcPr>
          <w:p>
            <w:pPr>
              <w:pStyle w:val="TableContents"/>
              <w:bidi w:val="0"/>
              <w:spacing w:before="0" w:after="283"/>
              <w:jc w:val="right"/>
              <w:rPr/>
            </w:pPr>
            <w:hyperlink w:anchor="sp_009">
              <w:r>
                <w:rPr>
                  <w:rStyle w:val="InternetLink"/>
                </w:rPr>
                <w:t>46</w:t>
              </w:r>
            </w:hyperlink>
          </w:p>
        </w:tc>
      </w:tr>
      <w:tr>
        <w:trPr/>
        <w:tc>
          <w:tcPr>
            <w:tcW w:w="4685" w:type="dxa"/>
            <w:tcBorders/>
            <w:shd w:fill="FFFFFF" w:val="clear"/>
            <w:vAlign w:val="center"/>
          </w:tcPr>
          <w:p>
            <w:pPr>
              <w:pStyle w:val="TableContents"/>
              <w:bidi w:val="0"/>
              <w:spacing w:before="0" w:after="283"/>
              <w:jc w:val="left"/>
              <w:rPr/>
            </w:pPr>
            <w:hyperlink w:anchor="sp_010">
              <w:r>
                <w:rPr>
                  <w:rStyle w:val="InternetLink"/>
                  <w:rFonts w:ascii="Times New Roman;Times;Serif" w:hAnsi="Times New Roman;Times;Serif"/>
                  <w:sz w:val="20"/>
                </w:rPr>
                <w:t>Description of Debt Securities</w:t>
              </w:r>
            </w:hyperlink>
          </w:p>
        </w:tc>
        <w:tc>
          <w:tcPr>
            <w:tcW w:w="515" w:type="dxa"/>
            <w:tcBorders/>
            <w:shd w:fill="FFFFFF" w:val="clear"/>
            <w:vAlign w:val="center"/>
          </w:tcPr>
          <w:p>
            <w:pPr>
              <w:pStyle w:val="TableContents"/>
              <w:bidi w:val="0"/>
              <w:spacing w:before="0" w:after="283"/>
              <w:jc w:val="right"/>
              <w:rPr/>
            </w:pPr>
            <w:hyperlink w:anchor="sp_010">
              <w:r>
                <w:rPr>
                  <w:rStyle w:val="InternetLink"/>
                  <w:rFonts w:ascii="Times New Roman;Times;Serif" w:hAnsi="Times New Roman;Times;Serif"/>
                  <w:sz w:val="20"/>
                </w:rPr>
                <w:t>47</w:t>
              </w:r>
            </w:hyperlink>
          </w:p>
        </w:tc>
      </w:tr>
      <w:tr>
        <w:trPr/>
        <w:tc>
          <w:tcPr>
            <w:tcW w:w="4685" w:type="dxa"/>
            <w:tcBorders/>
            <w:shd w:fill="CCEEFF" w:val="clear"/>
            <w:vAlign w:val="center"/>
          </w:tcPr>
          <w:p>
            <w:pPr>
              <w:pStyle w:val="TableContents"/>
              <w:bidi w:val="0"/>
              <w:spacing w:before="0" w:after="283"/>
              <w:jc w:val="left"/>
              <w:rPr/>
            </w:pPr>
            <w:hyperlink w:anchor="sp_011">
              <w:r>
                <w:rPr>
                  <w:rStyle w:val="InternetLink"/>
                  <w:rFonts w:ascii="Times New Roman;Times;Serif" w:hAnsi="Times New Roman;Times;Serif"/>
                  <w:sz w:val="20"/>
                </w:rPr>
                <w:t>Description of Warrants</w:t>
              </w:r>
            </w:hyperlink>
          </w:p>
        </w:tc>
        <w:tc>
          <w:tcPr>
            <w:tcW w:w="515" w:type="dxa"/>
            <w:tcBorders/>
            <w:shd w:fill="CCEEFF" w:val="clear"/>
            <w:vAlign w:val="center"/>
          </w:tcPr>
          <w:p>
            <w:pPr>
              <w:pStyle w:val="TableContents"/>
              <w:bidi w:val="0"/>
              <w:spacing w:before="0" w:after="283"/>
              <w:jc w:val="right"/>
              <w:rPr/>
            </w:pPr>
            <w:hyperlink w:anchor="sp_011">
              <w:r>
                <w:rPr>
                  <w:rStyle w:val="InternetLink"/>
                  <w:rFonts w:ascii="Times New Roman;Times;Serif" w:hAnsi="Times New Roman;Times;Serif"/>
                  <w:sz w:val="20"/>
                </w:rPr>
                <w:t>49</w:t>
              </w:r>
            </w:hyperlink>
          </w:p>
        </w:tc>
      </w:tr>
      <w:tr>
        <w:trPr/>
        <w:tc>
          <w:tcPr>
            <w:tcW w:w="4685"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Description of Rights</w:t>
              </w:r>
            </w:hyperlink>
          </w:p>
        </w:tc>
        <w:tc>
          <w:tcPr>
            <w:tcW w:w="515" w:type="dxa"/>
            <w:tcBorders/>
            <w:shd w:fill="FFFFFF" w:val="clear"/>
            <w:vAlign w:val="center"/>
          </w:tcPr>
          <w:p>
            <w:pPr>
              <w:pStyle w:val="TableContents"/>
              <w:bidi w:val="0"/>
              <w:spacing w:before="0" w:after="283"/>
              <w:jc w:val="right"/>
              <w:rPr/>
            </w:pPr>
            <w:hyperlink w:anchor="a_003">
              <w:r>
                <w:rPr>
                  <w:rStyle w:val="InternetLink"/>
                </w:rPr>
                <w:t>52</w:t>
              </w:r>
            </w:hyperlink>
          </w:p>
        </w:tc>
      </w:tr>
      <w:tr>
        <w:trPr/>
        <w:tc>
          <w:tcPr>
            <w:tcW w:w="4685" w:type="dxa"/>
            <w:tcBorders/>
            <w:shd w:fill="CCEEFF" w:val="clear"/>
            <w:vAlign w:val="center"/>
          </w:tcPr>
          <w:p>
            <w:pPr>
              <w:pStyle w:val="TableContents"/>
              <w:bidi w:val="0"/>
              <w:spacing w:before="0" w:after="283"/>
              <w:jc w:val="left"/>
              <w:rPr/>
            </w:pPr>
            <w:hyperlink w:anchor="sp_013">
              <w:r>
                <w:rPr>
                  <w:rStyle w:val="InternetLink"/>
                  <w:rFonts w:ascii="Times New Roman;Times;Serif" w:hAnsi="Times New Roman;Times;Serif"/>
                  <w:sz w:val="20"/>
                </w:rPr>
                <w:t>Description of Units</w:t>
              </w:r>
            </w:hyperlink>
          </w:p>
        </w:tc>
        <w:tc>
          <w:tcPr>
            <w:tcW w:w="515" w:type="dxa"/>
            <w:tcBorders/>
            <w:shd w:fill="CCEEFF" w:val="clear"/>
            <w:vAlign w:val="center"/>
          </w:tcPr>
          <w:p>
            <w:pPr>
              <w:pStyle w:val="TableContents"/>
              <w:bidi w:val="0"/>
              <w:spacing w:before="0" w:after="283"/>
              <w:jc w:val="right"/>
              <w:rPr/>
            </w:pPr>
            <w:hyperlink w:anchor="sp_013">
              <w:r>
                <w:rPr>
                  <w:rStyle w:val="InternetLink"/>
                  <w:rFonts w:ascii="Times New Roman;Times;Serif" w:hAnsi="Times New Roman;Times;Serif"/>
                  <w:sz w:val="20"/>
                </w:rPr>
                <w:t>53</w:t>
              </w:r>
            </w:hyperlink>
          </w:p>
        </w:tc>
      </w:tr>
      <w:tr>
        <w:trPr/>
        <w:tc>
          <w:tcPr>
            <w:tcW w:w="4685" w:type="dxa"/>
            <w:tcBorders/>
            <w:shd w:fill="FFFFFF" w:val="clear"/>
            <w:vAlign w:val="center"/>
          </w:tcPr>
          <w:p>
            <w:pPr>
              <w:pStyle w:val="TableContents"/>
              <w:bidi w:val="0"/>
              <w:spacing w:before="0" w:after="283"/>
              <w:jc w:val="left"/>
              <w:rPr/>
            </w:pPr>
            <w:hyperlink w:anchor="d_001">
              <w:r>
                <w:rPr>
                  <w:rStyle w:val="InternetLink"/>
                  <w:rFonts w:ascii="Times New Roman;Times;Serif" w:hAnsi="Times New Roman;Times;Serif"/>
                  <w:sz w:val="20"/>
                </w:rPr>
                <w:t>Plan of Distribution</w:t>
              </w:r>
            </w:hyperlink>
          </w:p>
        </w:tc>
        <w:tc>
          <w:tcPr>
            <w:tcW w:w="515" w:type="dxa"/>
            <w:tcBorders/>
            <w:shd w:fill="FFFFFF" w:val="clear"/>
            <w:vAlign w:val="center"/>
          </w:tcPr>
          <w:p>
            <w:pPr>
              <w:pStyle w:val="TableContents"/>
              <w:bidi w:val="0"/>
              <w:spacing w:before="0" w:after="283"/>
              <w:jc w:val="right"/>
              <w:rPr/>
            </w:pPr>
            <w:hyperlink w:anchor="d_001">
              <w:r>
                <w:rPr>
                  <w:rStyle w:val="InternetLink"/>
                </w:rPr>
                <w:t>54</w:t>
              </w:r>
            </w:hyperlink>
          </w:p>
        </w:tc>
      </w:tr>
      <w:tr>
        <w:trPr/>
        <w:tc>
          <w:tcPr>
            <w:tcW w:w="4685" w:type="dxa"/>
            <w:tcBorders/>
            <w:shd w:fill="CCEEFF" w:val="clear"/>
            <w:vAlign w:val="center"/>
          </w:tcPr>
          <w:p>
            <w:pPr>
              <w:pStyle w:val="TableContents"/>
              <w:bidi w:val="0"/>
              <w:spacing w:before="0" w:after="283"/>
              <w:jc w:val="left"/>
              <w:rPr/>
            </w:pPr>
            <w:hyperlink w:anchor="d_002">
              <w:r>
                <w:rPr>
                  <w:rStyle w:val="InternetLink"/>
                  <w:rFonts w:ascii="Times New Roman;Times;Serif" w:hAnsi="Times New Roman;Times;Serif"/>
                  <w:sz w:val="20"/>
                </w:rPr>
                <w:t>Taxation</w:t>
              </w:r>
            </w:hyperlink>
          </w:p>
        </w:tc>
        <w:tc>
          <w:tcPr>
            <w:tcW w:w="515" w:type="dxa"/>
            <w:tcBorders/>
            <w:shd w:fill="CCEEFF" w:val="clear"/>
            <w:vAlign w:val="center"/>
          </w:tcPr>
          <w:p>
            <w:pPr>
              <w:pStyle w:val="TableContents"/>
              <w:bidi w:val="0"/>
              <w:spacing w:before="0" w:after="283"/>
              <w:jc w:val="right"/>
              <w:rPr/>
            </w:pPr>
            <w:hyperlink w:anchor="d_002">
              <w:r>
                <w:rPr>
                  <w:rStyle w:val="InternetLink"/>
                  <w:rFonts w:ascii="Times New Roman;Times;Serif" w:hAnsi="Times New Roman;Times;Serif"/>
                  <w:sz w:val="20"/>
                </w:rPr>
                <w:t>56</w:t>
              </w:r>
            </w:hyperlink>
          </w:p>
        </w:tc>
      </w:tr>
      <w:tr>
        <w:trPr/>
        <w:tc>
          <w:tcPr>
            <w:tcW w:w="4685" w:type="dxa"/>
            <w:tcBorders/>
            <w:shd w:fill="FFFFFF" w:val="clear"/>
            <w:vAlign w:val="center"/>
          </w:tcPr>
          <w:p>
            <w:pPr>
              <w:pStyle w:val="TableContents"/>
              <w:bidi w:val="0"/>
              <w:spacing w:before="0" w:after="283"/>
              <w:jc w:val="left"/>
              <w:rPr/>
            </w:pPr>
            <w:hyperlink w:anchor="d_003">
              <w:r>
                <w:rPr>
                  <w:rStyle w:val="InternetLink"/>
                  <w:rFonts w:ascii="Times New Roman;Times;Serif" w:hAnsi="Times New Roman;Times;Serif"/>
                  <w:sz w:val="20"/>
                </w:rPr>
                <w:t>Expenses</w:t>
              </w:r>
            </w:hyperlink>
          </w:p>
        </w:tc>
        <w:tc>
          <w:tcPr>
            <w:tcW w:w="515" w:type="dxa"/>
            <w:tcBorders/>
            <w:shd w:fill="FFFFFF" w:val="clear"/>
            <w:vAlign w:val="center"/>
          </w:tcPr>
          <w:p>
            <w:pPr>
              <w:pStyle w:val="TableContents"/>
              <w:bidi w:val="0"/>
              <w:spacing w:before="0" w:after="283"/>
              <w:jc w:val="right"/>
              <w:rPr/>
            </w:pPr>
            <w:hyperlink w:anchor="d_003">
              <w:r>
                <w:rPr>
                  <w:rStyle w:val="InternetLink"/>
                  <w:rFonts w:ascii="Times New Roman;Times;Serif" w:hAnsi="Times New Roman;Times;Serif"/>
                  <w:sz w:val="20"/>
                </w:rPr>
                <w:t>57</w:t>
              </w:r>
            </w:hyperlink>
          </w:p>
        </w:tc>
      </w:tr>
      <w:tr>
        <w:trPr/>
        <w:tc>
          <w:tcPr>
            <w:tcW w:w="4685" w:type="dxa"/>
            <w:tcBorders/>
            <w:shd w:fill="CCEEFF" w:val="clear"/>
            <w:vAlign w:val="center"/>
          </w:tcPr>
          <w:p>
            <w:pPr>
              <w:pStyle w:val="TableContents"/>
              <w:bidi w:val="0"/>
              <w:spacing w:before="0" w:after="283"/>
              <w:jc w:val="left"/>
              <w:rPr/>
            </w:pPr>
            <w:hyperlink w:anchor="d_004">
              <w:r>
                <w:rPr>
                  <w:rStyle w:val="InternetLink"/>
                  <w:rFonts w:ascii="Times New Roman;Times;Serif" w:hAnsi="Times New Roman;Times;Serif"/>
                  <w:sz w:val="20"/>
                </w:rPr>
                <w:t>Material Contracts</w:t>
              </w:r>
            </w:hyperlink>
          </w:p>
        </w:tc>
        <w:tc>
          <w:tcPr>
            <w:tcW w:w="515" w:type="dxa"/>
            <w:tcBorders/>
            <w:shd w:fill="CCEEFF" w:val="clear"/>
            <w:vAlign w:val="center"/>
          </w:tcPr>
          <w:p>
            <w:pPr>
              <w:pStyle w:val="TableContents"/>
              <w:bidi w:val="0"/>
              <w:spacing w:before="0" w:after="283"/>
              <w:jc w:val="right"/>
              <w:rPr/>
            </w:pPr>
            <w:hyperlink w:anchor="d_004">
              <w:r>
                <w:rPr>
                  <w:rStyle w:val="InternetLink"/>
                </w:rPr>
                <w:t>58</w:t>
              </w:r>
            </w:hyperlink>
          </w:p>
        </w:tc>
      </w:tr>
      <w:tr>
        <w:trPr/>
        <w:tc>
          <w:tcPr>
            <w:tcW w:w="4685" w:type="dxa"/>
            <w:tcBorders/>
            <w:shd w:fill="FFFFFF" w:val="clear"/>
            <w:vAlign w:val="center"/>
          </w:tcPr>
          <w:p>
            <w:pPr>
              <w:pStyle w:val="TableContents"/>
              <w:bidi w:val="0"/>
              <w:spacing w:before="0" w:after="283"/>
              <w:jc w:val="left"/>
              <w:rPr/>
            </w:pPr>
            <w:hyperlink w:anchor="d_005">
              <w:r>
                <w:rPr>
                  <w:rStyle w:val="InternetLink"/>
                  <w:rFonts w:ascii="Times New Roman;Times;Serif" w:hAnsi="Times New Roman;Times;Serif"/>
                  <w:sz w:val="20"/>
                </w:rPr>
                <w:t>Material Changes</w:t>
              </w:r>
            </w:hyperlink>
          </w:p>
        </w:tc>
        <w:tc>
          <w:tcPr>
            <w:tcW w:w="515" w:type="dxa"/>
            <w:tcBorders/>
            <w:shd w:fill="FFFFFF" w:val="clear"/>
            <w:vAlign w:val="center"/>
          </w:tcPr>
          <w:p>
            <w:pPr>
              <w:pStyle w:val="TableContents"/>
              <w:bidi w:val="0"/>
              <w:spacing w:before="0" w:after="283"/>
              <w:jc w:val="right"/>
              <w:rPr/>
            </w:pPr>
            <w:hyperlink w:anchor="d_005">
              <w:r>
                <w:rPr>
                  <w:rStyle w:val="InternetLink"/>
                </w:rPr>
                <w:t>58</w:t>
              </w:r>
            </w:hyperlink>
          </w:p>
        </w:tc>
      </w:tr>
      <w:tr>
        <w:trPr/>
        <w:tc>
          <w:tcPr>
            <w:tcW w:w="4685" w:type="dxa"/>
            <w:tcBorders/>
            <w:shd w:fill="CCEEFF" w:val="clear"/>
            <w:vAlign w:val="center"/>
          </w:tcPr>
          <w:p>
            <w:pPr>
              <w:pStyle w:val="TableContents"/>
              <w:bidi w:val="0"/>
              <w:spacing w:before="0" w:after="283"/>
              <w:jc w:val="left"/>
              <w:rPr/>
            </w:pPr>
            <w:hyperlink w:anchor="d_006">
              <w:r>
                <w:rPr>
                  <w:rStyle w:val="InternetLink"/>
                  <w:rFonts w:ascii="Times New Roman;Times;Serif" w:hAnsi="Times New Roman;Times;Serif"/>
                  <w:sz w:val="20"/>
                </w:rPr>
                <w:t>Legal Matters</w:t>
              </w:r>
            </w:hyperlink>
          </w:p>
        </w:tc>
        <w:tc>
          <w:tcPr>
            <w:tcW w:w="515" w:type="dxa"/>
            <w:tcBorders/>
            <w:shd w:fill="CCEEFF" w:val="clear"/>
            <w:vAlign w:val="center"/>
          </w:tcPr>
          <w:p>
            <w:pPr>
              <w:pStyle w:val="TableContents"/>
              <w:bidi w:val="0"/>
              <w:spacing w:before="0" w:after="283"/>
              <w:jc w:val="right"/>
              <w:rPr/>
            </w:pPr>
            <w:hyperlink w:anchor="d_006">
              <w:r>
                <w:rPr>
                  <w:rStyle w:val="InternetLink"/>
                  <w:rFonts w:ascii="Times New Roman;Times;Serif" w:hAnsi="Times New Roman;Times;Serif"/>
                  <w:sz w:val="20"/>
                </w:rPr>
                <w:t>58</w:t>
              </w:r>
            </w:hyperlink>
          </w:p>
        </w:tc>
      </w:tr>
      <w:tr>
        <w:trPr/>
        <w:tc>
          <w:tcPr>
            <w:tcW w:w="4685" w:type="dxa"/>
            <w:tcBorders/>
            <w:shd w:fill="FFFFFF" w:val="clear"/>
            <w:vAlign w:val="center"/>
          </w:tcPr>
          <w:p>
            <w:pPr>
              <w:pStyle w:val="TableContents"/>
              <w:bidi w:val="0"/>
              <w:spacing w:before="0" w:after="283"/>
              <w:jc w:val="left"/>
              <w:rPr/>
            </w:pPr>
            <w:hyperlink w:anchor="d_007">
              <w:r>
                <w:rPr>
                  <w:rStyle w:val="InternetLink"/>
                  <w:rFonts w:ascii="Times New Roman;Times;Serif" w:hAnsi="Times New Roman;Times;Serif"/>
                  <w:sz w:val="20"/>
                </w:rPr>
                <w:t>Experts</w:t>
              </w:r>
            </w:hyperlink>
          </w:p>
        </w:tc>
        <w:tc>
          <w:tcPr>
            <w:tcW w:w="515" w:type="dxa"/>
            <w:tcBorders/>
            <w:shd w:fill="FFFFFF" w:val="clear"/>
            <w:vAlign w:val="center"/>
          </w:tcPr>
          <w:p>
            <w:pPr>
              <w:pStyle w:val="TableContents"/>
              <w:bidi w:val="0"/>
              <w:spacing w:before="0" w:after="283"/>
              <w:jc w:val="right"/>
              <w:rPr/>
            </w:pPr>
            <w:hyperlink w:anchor="d_007">
              <w:r>
                <w:rPr>
                  <w:rStyle w:val="InternetLink"/>
                  <w:rFonts w:ascii="Times New Roman;Times;Serif" w:hAnsi="Times New Roman;Times;Serif"/>
                  <w:sz w:val="20"/>
                </w:rPr>
                <w:t>58</w:t>
              </w:r>
            </w:hyperlink>
          </w:p>
        </w:tc>
      </w:tr>
      <w:tr>
        <w:trPr/>
        <w:tc>
          <w:tcPr>
            <w:tcW w:w="468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Enforceability of Civil Liabilities</w:t>
              </w:r>
            </w:hyperlink>
          </w:p>
        </w:tc>
        <w:tc>
          <w:tcPr>
            <w:tcW w:w="515" w:type="dxa"/>
            <w:tcBorders/>
            <w:shd w:fill="CCEEFF" w:val="clear"/>
            <w:vAlign w:val="center"/>
          </w:tcPr>
          <w:p>
            <w:pPr>
              <w:pStyle w:val="TableContents"/>
              <w:bidi w:val="0"/>
              <w:spacing w:before="0" w:after="283"/>
              <w:jc w:val="right"/>
              <w:rPr/>
            </w:pPr>
            <w:hyperlink w:anchor="a_005">
              <w:r>
                <w:rPr>
                  <w:rStyle w:val="InternetLink"/>
                </w:rPr>
                <w:t>59</w:t>
              </w:r>
            </w:hyperlink>
          </w:p>
        </w:tc>
      </w:tr>
      <w:tr>
        <w:trPr/>
        <w:tc>
          <w:tcPr>
            <w:tcW w:w="4685" w:type="dxa"/>
            <w:tcBorders/>
            <w:shd w:fill="FFFFFF" w:val="clear"/>
            <w:vAlign w:val="center"/>
          </w:tcPr>
          <w:p>
            <w:pPr>
              <w:pStyle w:val="TableContents"/>
              <w:bidi w:val="0"/>
              <w:spacing w:before="0" w:after="283"/>
              <w:jc w:val="left"/>
              <w:rPr/>
            </w:pPr>
            <w:hyperlink w:anchor="sp_018">
              <w:r>
                <w:rPr>
                  <w:rStyle w:val="InternetLink"/>
                  <w:rFonts w:ascii="Times New Roman;Times;Serif" w:hAnsi="Times New Roman;Times;Serif"/>
                  <w:sz w:val="20"/>
                </w:rPr>
                <w:t>Where You Can Find Additional Information</w:t>
              </w:r>
            </w:hyperlink>
          </w:p>
        </w:tc>
        <w:tc>
          <w:tcPr>
            <w:tcW w:w="515" w:type="dxa"/>
            <w:tcBorders/>
            <w:shd w:fill="FFFFFF" w:val="clear"/>
            <w:vAlign w:val="center"/>
          </w:tcPr>
          <w:p>
            <w:pPr>
              <w:pStyle w:val="TableContents"/>
              <w:bidi w:val="0"/>
              <w:spacing w:before="0" w:after="283"/>
              <w:jc w:val="right"/>
              <w:rPr/>
            </w:pPr>
            <w:hyperlink w:anchor="sp_018">
              <w:r>
                <w:rPr>
                  <w:rStyle w:val="InternetLink"/>
                  <w:rFonts w:ascii="Times New Roman;Times;Serif" w:hAnsi="Times New Roman;Times;Serif"/>
                  <w:sz w:val="20"/>
                </w:rPr>
                <w:t>60</w:t>
              </w:r>
            </w:hyperlink>
          </w:p>
        </w:tc>
      </w:tr>
      <w:tr>
        <w:trPr/>
        <w:tc>
          <w:tcPr>
            <w:tcW w:w="4685" w:type="dxa"/>
            <w:tcBorders/>
            <w:shd w:fill="CCEEFF" w:val="clear"/>
            <w:vAlign w:val="center"/>
          </w:tcPr>
          <w:p>
            <w:pPr>
              <w:pStyle w:val="TableContents"/>
              <w:bidi w:val="0"/>
              <w:spacing w:before="0" w:after="283"/>
              <w:jc w:val="left"/>
              <w:rPr/>
            </w:pPr>
            <w:hyperlink w:anchor="sp_019">
              <w:r>
                <w:rPr>
                  <w:rStyle w:val="InternetLink"/>
                  <w:rFonts w:ascii="Times New Roman;Times;Serif" w:hAnsi="Times New Roman;Times;Serif"/>
                  <w:sz w:val="20"/>
                </w:rPr>
                <w:t>Incorporation of Documents by Reference</w:t>
              </w:r>
            </w:hyperlink>
          </w:p>
        </w:tc>
        <w:tc>
          <w:tcPr>
            <w:tcW w:w="515" w:type="dxa"/>
            <w:tcBorders/>
            <w:shd w:fill="CCEEFF" w:val="clear"/>
            <w:vAlign w:val="center"/>
          </w:tcPr>
          <w:p>
            <w:pPr>
              <w:pStyle w:val="TableContents"/>
              <w:bidi w:val="0"/>
              <w:spacing w:before="0" w:after="283"/>
              <w:jc w:val="right"/>
              <w:rPr/>
            </w:pPr>
            <w:hyperlink w:anchor="sp_019">
              <w:r>
                <w:rPr>
                  <w:rStyle w:val="InternetLink"/>
                  <w:rFonts w:ascii="Times New Roman;Times;Serif" w:hAnsi="Times New Roman;Times;Serif"/>
                  <w:sz w:val="20"/>
                </w:rPr>
                <w:t>61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into this prospectus, in the applicable prospectus supplement or in any free writing prospectus filed by us with the SEC. We have not authorized any other person to provide you with different information. If anyone provides you with different or inconsistent information, you should not rely on it. You should not assume that the information contained or incorporated by reference into this prospectus and any prospectus supplement or in any free writing prospectus is accurate as of any date other than the respective dates thereof. Our business, financial condition, results of operations and prospects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making an offer to sell the securities or soliciting an offer to buy the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p1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shelf registration statement that we filed with the Securities and Exchange Commission, or the SEC. By using a shelf registration statement, we may, at any time and from time to time, offer and sell up to an aggregate of US$300,000,000 of the securities as described in this prospectus in one or more offerings. This prospectus provides you with a general description of the securities offered. We may also add, update or change information contained in this prospectus by means of a prospectus supplement or by incorporating by reference information that we file or furnish to the SEC. If there is any inconsistency between the information in this prospectus and any related prospectus supplement, you should rely on the information in the applicable prospectus supplement.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the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this document and any applicable prospectus supplement. You should also read the documents we have referred you to under “</w:t>
      </w:r>
      <w:r>
        <w:rPr>
          <w:rFonts w:ascii="Times New Roman;Times;Serif" w:hAnsi="Times New Roman;Times;Serif"/>
          <w:b w:val="false"/>
          <w:i/>
          <w:caps w:val="false"/>
          <w:smallCaps w:val="false"/>
          <w:sz w:val="20"/>
        </w:rPr>
        <w:t>Where You Can Find More Information About Us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below for information on our company, the risks we face and our financial statements. The registration statement and exhibits can be read on the SEC’s website as described under “</w:t>
      </w:r>
      <w:r>
        <w:rPr>
          <w:rFonts w:ascii="Times New Roman;Times;Serif" w:hAnsi="Times New Roman;Times;Serif"/>
          <w:b w:val="false"/>
          <w:i/>
          <w:caps w:val="false"/>
          <w:smallCaps w:val="false"/>
          <w:sz w:val="20"/>
        </w:rPr>
        <w:t>Where You Can Find More Information About 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indicated or unless the context otherwise requires: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An Rui Tai BVI” are to AnRuiTai Investment Limited, a BVI (as defined below) business company incorporated in the BVI with limited liability in November 2018, owned as to 90% by Ms. Wenxiu Zhong and 10% by Mr. Sheng Gong;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Baosheng BVI” are to Baosheng Media Group Limited, a BVI business company incorporated with limited liability under the laws of the BVI and a direct wholly-owned subsidiary of Baosheng Group;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Baosheng Group” are to Baosheng Media Group Holdings Limited (</w:t>
            </w:r>
            <w:r>
              <w:rPr>
                <w:rFonts w:eastAsia="Times New Roman;Times;Serif"/>
                <w:sz w:val="20"/>
              </w:rPr>
              <w:t>宝盛传媒集团控股有限公司</w:t>
            </w:r>
            <w:r>
              <w:rPr>
                <w:rFonts w:ascii="Times New Roman;Times;Serif" w:hAnsi="Times New Roman;Times;Serif"/>
                <w:sz w:val="20"/>
              </w:rPr>
              <w:t>), an exempted company with limited liability incorporated under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Baosheng Hong Kong” are to Baosheng BVI’s wholly owned subsidiary, Baosheng Media Group (Hong Kong) Holdings Limited, a Hong Kong company with limited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Baosheng Network” are to Beijing Baosheng Network Technology Co., Ltd., a limited liability company established in the PRC and a direct wholly-owned subsidiary of Baosheng Hong Kong;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Baosheng Technology” are to Baosheng Technology (Horgos) Company Limited, a limited liability company established in the PRC and a direct wholly-owned subsidiary of Beijing Baosheng (as defined below);</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Beijing Baosheng” are to Beijing Baosheng Technology Company Limited, a limited liability company established in the PRC and a direct wholly-owned subsidiary of Baosheng Hong Kong;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Beijing Xunhuo” are to Beijing Xunhuo E-commerce Co., Ltd., a limited liability company established in the PRC and a direct wholly-owned subsidiary of Baosheng Network;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Beijing Zhiding” are to Beijing Zhiding Baosheng Network Technology Co. Ltd., a limited liability company established in the PRC and a direct wholly-owned subsidiary of Baosheng Hong Kong;</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10"/>
        <w:gridCol w:w="3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3200" w:type="dxa"/>
            <w:tcBorders/>
            <w:vAlign w:val="center"/>
          </w:tcPr>
          <w:p>
            <w:pPr>
              <w:pStyle w:val="TableContents"/>
              <w:bidi w:val="0"/>
              <w:spacing w:before="0" w:after="283"/>
              <w:jc w:val="both"/>
              <w:rPr/>
            </w:pPr>
            <w:r>
              <w:rPr/>
              <w:t>“</w:t>
            </w:r>
            <w:r>
              <w:rPr>
                <w:rFonts w:ascii="Times New Roman;Times;Serif" w:hAnsi="Times New Roman;Times;Serif"/>
                <w:sz w:val="20"/>
              </w:rPr>
              <w:t>BVI” are to the British Virgin Islands;</w:t>
            </w:r>
          </w:p>
        </w:tc>
      </w:tr>
    </w:tbl>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75"/>
        <w:gridCol w:w="110"/>
        <w:gridCol w:w="9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965" w:type="dxa"/>
            <w:tcBorders/>
            <w:vAlign w:val="center"/>
          </w:tcPr>
          <w:p>
            <w:pPr>
              <w:pStyle w:val="TableContents"/>
              <w:bidi w:val="0"/>
              <w:spacing w:before="0" w:after="283"/>
              <w:jc w:val="both"/>
              <w:rPr/>
            </w:pPr>
            <w:r>
              <w:rPr/>
              <w:t>“</w:t>
            </w:r>
            <w:r>
              <w:rPr>
                <w:rFonts w:ascii="Times New Roman;Times;Serif" w:hAnsi="Times New Roman;Times;Serif"/>
                <w:sz w:val="20"/>
              </w:rPr>
              <w:t>China” or the “PRC” are to the People’s Republic of China, excluding Taiwan for the purposes of this annual report only;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CYY Holdings” are to CYY Holdings Limited, a business company formed in the BVI with limited liability in November 2013 and is wholly owned by Mr. Yick Yan Chan;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Horgos Baosheng” are to Horgos Baosheng Advertising Company Limited, a limited liability company established in the PRC and a direct wholly-owned subsidiary of Beijing Baosheng;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pPr>
            <w:r>
              <w:rPr/>
              <w:t>“</w:t>
            </w:r>
            <w:r>
              <w:rPr/>
              <w:t>our subsidiaries” or “the subsidiaries” are to the Company’s direct and indirect subsidiaries;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t>operating entities” are to the Company’s subsidiaries with business activities, namely Beijing Baosheng, Horgos Baosheng, Baosheng Technology, Beijing Zhiding, Yuansheng Meiyan, Baosheng Network and Beijing Xunhuo;</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PBCY Investment” are to PBCY Investment Limited, a business company incorporated in the BVI with limited liability in November 2018, and is owned as to 86.35% by Pubang Landscape (as defined below) through Pubang Hong Kong (as defined below) and 13.65% by Mr. Yick Yan Chan through CYY Holdings;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Pubang Hong Kong” represents Pubang Landscape Architecture (HK) Co., Ltd., a company formed in Hong Kong with limited liability in September 2013 and is a direct wholly owned subsidiary of Pubang Landscape.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Pubang Landscape” represents Pubang Landscape Architecture Co., Ltd., a joint stock company established in the PRC with limited liability on July 19, 1995, whose shares are listed on the Shenzhen Stock Exchange (stock code: 002663.SZ), and is a financial investor of our Company and one of our pre-IPO investors.</w:t>
            </w:r>
          </w:p>
        </w:tc>
      </w:tr>
    </w:tbl>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1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335" w:type="dxa"/>
            <w:tcBorders/>
            <w:vAlign w:val="center"/>
          </w:tcPr>
          <w:p>
            <w:pPr>
              <w:pStyle w:val="TableContents"/>
              <w:bidi w:val="0"/>
              <w:spacing w:before="0" w:after="283"/>
              <w:jc w:val="both"/>
              <w:rPr/>
            </w:pPr>
            <w:r>
              <w:rPr/>
              <w:t>“</w:t>
            </w:r>
            <w:r>
              <w:rPr>
                <w:rFonts w:ascii="Times New Roman;Times;Serif" w:hAnsi="Times New Roman;Times;Serif"/>
                <w:sz w:val="20"/>
              </w:rPr>
              <w:t>shares,” “Shares,” or “Ordinary Shares” are to the ordinary shares of the Company, par value US$0.0096 per share;</w:t>
            </w:r>
          </w:p>
        </w:tc>
      </w:tr>
    </w:tbl>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11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8855" w:type="dxa"/>
            <w:tcBorders/>
            <w:vAlign w:val="center"/>
          </w:tcPr>
          <w:p>
            <w:pPr>
              <w:pStyle w:val="TableContents"/>
              <w:bidi w:val="0"/>
              <w:spacing w:before="0" w:after="283"/>
              <w:jc w:val="both"/>
              <w:rPr/>
            </w:pPr>
            <w:r>
              <w:rPr/>
              <w:t>“</w:t>
            </w:r>
            <w:r>
              <w:rPr>
                <w:rFonts w:ascii="Times New Roman;Times;Serif" w:hAnsi="Times New Roman;Times;Serif"/>
                <w:sz w:val="20"/>
              </w:rPr>
              <w:t>we,” “us,” or the “Company” are to one or more of Baosheng Group, and its subsidiaries, as the case may be.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certain technical terms used in this prospectus, references to:</w:t>
      </w:r>
    </w:p>
    <w:p>
      <w:pPr>
        <w:pStyle w:val="TextBody"/>
        <w:bidi w:val="0"/>
        <w:spacing w:before="0" w:after="0"/>
        <w:ind w:left="0" w:right="0" w:hanging="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11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8855" w:type="dxa"/>
            <w:tcBorders/>
            <w:vAlign w:val="center"/>
          </w:tcPr>
          <w:p>
            <w:pPr>
              <w:pStyle w:val="TableContents"/>
              <w:bidi w:val="0"/>
              <w:spacing w:before="0" w:after="283"/>
              <w:jc w:val="both"/>
              <w:rPr/>
            </w:pPr>
            <w:r>
              <w:rPr/>
              <w:t>“</w:t>
            </w:r>
            <w:r>
              <w:rPr>
                <w:rFonts w:ascii="Times New Roman;Times;Serif" w:hAnsi="Times New Roman;Times;Serif"/>
                <w:sz w:val="20"/>
              </w:rPr>
              <w:t>ad inventory” are to the space available to advertisers on digital platforms in the online marketing industry;</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110"/>
        <w:gridCol w:w="2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405" w:type="dxa"/>
            <w:tcBorders/>
            <w:vAlign w:val="center"/>
          </w:tcPr>
          <w:p>
            <w:pPr>
              <w:pStyle w:val="TableContents"/>
              <w:bidi w:val="0"/>
              <w:spacing w:before="0" w:after="283"/>
              <w:jc w:val="left"/>
              <w:rPr/>
            </w:pPr>
            <w:r>
              <w:rPr/>
              <w:t>“</w:t>
            </w:r>
            <w:r>
              <w:rPr>
                <w:rFonts w:ascii="Times New Roman;Times;Serif" w:hAnsi="Times New Roman;Times;Serif"/>
                <w:sz w:val="20"/>
              </w:rPr>
              <w:t>ad” are to an advertisement;</w:t>
            </w:r>
          </w:p>
        </w:tc>
      </w:tr>
    </w:tbl>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75"/>
        <w:gridCol w:w="11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170" w:type="dxa"/>
            <w:tcBorders/>
            <w:vAlign w:val="center"/>
          </w:tcPr>
          <w:p>
            <w:pPr>
              <w:pStyle w:val="TableContents"/>
              <w:bidi w:val="0"/>
              <w:spacing w:before="0" w:after="283"/>
              <w:jc w:val="left"/>
              <w:rPr/>
            </w:pPr>
            <w:r>
              <w:rPr/>
              <w:t>“</w:t>
            </w:r>
            <w:r>
              <w:rPr>
                <w:rFonts w:ascii="Times New Roman;Times;Serif" w:hAnsi="Times New Roman;Times;Serif"/>
                <w:sz w:val="20"/>
              </w:rPr>
              <w:t>audiences” are to the recipients of information (including advertisements);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authorized agency status” are to the qualification to serve as a designated agency for the media in identifying and procuring advertisers to purchase ad inventory from the media, facilitating the transaction process, and assisting ad deployment. See “Item 4. Information on the Company — B. Business Overview” in this annual report for more information on our authorized agency status with media.</w:t>
            </w:r>
          </w:p>
        </w:tc>
      </w:tr>
    </w:tbl>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10"/>
        <w:gridCol w:w="9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995" w:type="dxa"/>
            <w:tcBorders/>
            <w:vAlign w:val="center"/>
          </w:tcPr>
          <w:p>
            <w:pPr>
              <w:pStyle w:val="TableContents"/>
              <w:bidi w:val="0"/>
              <w:spacing w:before="0" w:after="283"/>
              <w:jc w:val="both"/>
              <w:rPr/>
            </w:pPr>
            <w:r>
              <w:rPr/>
              <w:t>“</w:t>
            </w:r>
            <w:r>
              <w:rPr>
                <w:rFonts w:ascii="Times New Roman;Times;Serif" w:hAnsi="Times New Roman;Times;Serif"/>
                <w:sz w:val="20"/>
              </w:rPr>
              <w:t>feed” are to an internet service in which updates from electronic information sources are presented in a continuous stream;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in-feed ad” are to a form of ads that are typically placed in article and content feeds and mimic the surrounding site design and aesthetics so that the articles or content feeds are mixed with the in-feed ads providing the audience an uninterrupted content flow;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mobile app ad” are to a form of ads which are served on apps in various formats such as display ads and video ads, and for the purpose of this annual report excluding in-feed ads;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mobile app” are to a computer program or software application designed to run on a mobile device such as phone, tablet, or watch;</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10"/>
        <w:gridCol w:w="9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020" w:type="dxa"/>
            <w:tcBorders/>
            <w:vAlign w:val="center"/>
          </w:tcPr>
          <w:p>
            <w:pPr>
              <w:pStyle w:val="TableContents"/>
              <w:bidi w:val="0"/>
              <w:spacing w:before="0" w:after="283"/>
              <w:jc w:val="both"/>
              <w:rPr/>
            </w:pPr>
            <w:r>
              <w:rPr/>
              <w:t>“</w:t>
            </w:r>
            <w:r>
              <w:rPr>
                <w:rFonts w:ascii="Times New Roman;Times;Serif" w:hAnsi="Times New Roman;Times;Serif"/>
                <w:sz w:val="20"/>
              </w:rPr>
              <w:t>social media marketing” are to the use of social media platforms and websites to promote a product or service;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ad currency unit” are to a kind of virtual currency that needs to be purchased from relevant media for use in acquiring their ad inventory;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CPA” are to cost per acquisition, an online advertising pricing model where the advertiser pays for a specified acquisition;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CPC” are to cost per click, an online advertising pricing model where an advertiser pays a media (typically a search engine, website owner, or a network of websites) when the ad is clicked;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CPM” are to cost per mille, an online advertising pricing model where an advertiser pays for one thousand views or clicks of an advertisement;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CPT” are to cost per time, an online advertising pricing model where an advertiser pays for an advertisement to be placed for a set amount of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DMP” are to data management platform, a technology platform used for collecting and managing data, mainly for digital marketing purposes;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DSP” are to demand-side platform, a system that allows buyers of digital advertising inventory to manage multiple ad exchange and data exchange accounts through one interface;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gross billing” are to the actual dollar amount of advertising spend of advertisers, net of any rebates and discounts given to those advertisers;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gross media costs” are to the costs paid to media for acquisition of ad inventory without being offset by rebates received from media;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media costs” are to the costs for acquisition of ad inventory or other advertising services from media and other advertising service providers as offset by rebates we receive from the relevant media and advertising service providers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performance-based advertising” are to a form of advertising in which the purchaser pays only when there are measurable results (e.g., number of purchases, downloads, and registrations);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SEM” are to search engine marketing, a form of online marketing that involves the promotion of websites by increasing their visibility in search engine results pages and search-related products and services;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t>
            </w:r>
            <w:r>
              <w:rPr>
                <w:rFonts w:ascii="Times New Roman;Times;Serif" w:hAnsi="Times New Roman;Times;Serif"/>
                <w:sz w:val="20"/>
              </w:rPr>
              <w:t>SSP” are to supply-side platform, a technology platform to enable media owners to manage their ad inventory, fill it with ads, and receive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sp_001"/>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our SEC filings that are incorporated by reference into this prospectus contain or incorporate by reference forward-looking statements within the meaning of Section 27A of the Securities Act and Section 21E of the Securities Exchange Act of 1934, as amended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sp_021"/>
      <w:bookmarkEnd w:id="4"/>
      <w:r>
        <w:rPr>
          <w:rFonts w:ascii="Times New Roman;Times;Serif" w:hAnsi="Times New Roman;Times;Serif"/>
          <w:b/>
          <w:i w:val="false"/>
          <w:caps/>
          <w:sz w:val="20"/>
        </w:rPr>
        <w:t>Prospectus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We are an online marketing solution provider based in China. We are dedicated to helping our advertiser clients manage their online marketing activities with a view to achieving their business goals. We advise advertisers on online marketing strategies, offer value-added advertising optimization services and facilitate the deployment of online ads of various forms such as search ads, in-feed ads, mobile app ads and social media marketing ads. At the same time, as the authorized agency of some popular online media, such as Super Huichuan (</w:t>
      </w:r>
      <w:r>
        <w:rPr>
          <w:rFonts w:eastAsia="Times New Roman;Times;Serif"/>
          <w:b w:val="false"/>
          <w:i w:val="false"/>
          <w:caps w:val="false"/>
          <w:smallCaps w:val="false"/>
          <w:sz w:val="20"/>
        </w:rPr>
        <w:t>超级汇川</w:t>
      </w:r>
      <w:r>
        <w:rPr>
          <w:rFonts w:ascii="Times New Roman;Times;Serif" w:hAnsi="Times New Roman;Times;Serif"/>
          <w:b w:val="false"/>
          <w:i w:val="false"/>
          <w:caps w:val="false"/>
          <w:smallCaps w:val="false"/>
          <w:sz w:val="20"/>
        </w:rPr>
        <w:t>), we help online media procure advertisers to buy their ad inventory and facilitate ad deployment on their advertising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Relying on our management’s extensive industry experience, deep industry insights and well-established network of media resources, we have grown rapidly from a start-up online marketing agency founded in 2014 to a multi-channel online marketing solution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help advertisers formulate their online advertising strategies, optimize their ads and run their ads on suitable online advertising channels with a view to achieving their business goals. We have built a broad and diverse advertiser base across various industries, including ecommerce and online service platforms, online education, online travel agencies, financial services, online gaming, car services and other advertising agencies. We believe our ability to attract and retain these advertisers reflects the high level of our services, which is essential to our business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Our business value chain. </w:t>
      </w:r>
      <w:r>
        <w:rPr>
          <w:rFonts w:ascii="Times New Roman;Times;Serif" w:hAnsi="Times New Roman;Times;Serif"/>
          <w:b w:val="false"/>
          <w:i w:val="false"/>
          <w:caps w:val="false"/>
          <w:smallCaps w:val="false"/>
          <w:sz w:val="20"/>
        </w:rPr>
        <w:t>As an online advertising service provider, we regard our business values as revolving around our ability to serve the needs of two major business stakeholders: (i) advertisers; and (ii) media (or their authorized agencies).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Value to advertisers</w:t>
            </w:r>
            <w:r>
              <w:rPr>
                <w:rFonts w:ascii="Times New Roman;Times;Serif" w:hAnsi="Times New Roman;Times;Serif"/>
                <w:sz w:val="20"/>
              </w:rPr>
              <w:t>:  As an online marketing service provider, we connect advertisers and online media, helping advertisers to manage their online marketing activities in many ways, including, but not limited to, (i) advising on advertising strategies, budget and choice of advertising channels; (ii) procuring ad inventory; (iii) offering ad optimization services; and (iv) administrating and fine-tuning the ad placement process.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Value to media</w:t>
            </w:r>
            <w:r>
              <w:rPr>
                <w:rFonts w:ascii="Times New Roman;Times;Serif" w:hAnsi="Times New Roman;Times;Serif"/>
                <w:sz w:val="20"/>
              </w:rPr>
              <w:t>: As an authorized agency of media, we create value to media businesses in several ways, including, but not limited to, (i) identifying advertisers to buy their ad inventory, (ii) facilitating payment arrangements with advertisers, (iii) assisting advertisers in handling ad deployment logistics with media, and (iv) engaging in other marketing and promotion activities aimed at educating and inducing advertisers to use online advertising.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advertising services. </w:t>
      </w:r>
      <w:r>
        <w:rPr>
          <w:rFonts w:ascii="Times New Roman;Times;Serif" w:hAnsi="Times New Roman;Times;Serif"/>
          <w:b w:val="false"/>
          <w:i w:val="false"/>
          <w:caps w:val="false"/>
          <w:smallCaps w:val="false"/>
          <w:sz w:val="20"/>
        </w:rPr>
        <w:t>We offer two types of advertising services, SEM services, and Non-SEM services. Our SEM services include the deployment of ranked search ads and other display search ads offered by search engine operators. Our Non-SEM services, on the other hand, include social media marketing, in-feed advertising, and mobile app advertising through deploying ads on media such as social media platforms, short-video platforms, news portals and mobile apps. The display forms of our Non-SEM ads include in-feed ads, banner ads, button ads, interstitial ads, and posts on selected social media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relevant ad formats, the corresponding pricing models generally adopted by media and our revenue model: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89"/>
        <w:gridCol w:w="60"/>
        <w:gridCol w:w="6125"/>
        <w:gridCol w:w="60"/>
        <w:gridCol w:w="1565"/>
        <w:gridCol w:w="60"/>
        <w:gridCol w:w="1446"/>
      </w:tblGrid>
      <w:tr>
        <w:trPr/>
        <w:tc>
          <w:tcPr>
            <w:tcW w:w="889" w:type="dxa"/>
            <w:tcBorders>
              <w:bottom w:val="single" w:sz="8"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Type</w:t>
            </w:r>
          </w:p>
        </w:tc>
        <w:tc>
          <w:tcPr>
            <w:tcW w:w="60" w:type="dxa"/>
            <w:tcBorders/>
            <w:tcMar>
              <w:bottom w:w="0" w:type="dxa"/>
            </w:tcMar>
            <w:vAlign w:val="center"/>
          </w:tcPr>
          <w:p>
            <w:pPr>
              <w:pStyle w:val="TableContents"/>
              <w:bidi w:val="0"/>
              <w:spacing w:before="0" w:after="283"/>
              <w:jc w:val="center"/>
              <w:rPr/>
            </w:pPr>
            <w:r>
              <w:rPr/>
              <w:t> </w:t>
            </w:r>
          </w:p>
        </w:tc>
        <w:tc>
          <w:tcPr>
            <w:tcW w:w="61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Media’s </w:t>
              <w:br/>
              <w:t xml:space="preserve">principal </w:t>
              <w:br/>
              <w:t xml:space="preserve">pricing </w:t>
              <w:br/>
              <w:t>model</w:t>
            </w:r>
          </w:p>
        </w:tc>
        <w:tc>
          <w:tcPr>
            <w:tcW w:w="60" w:type="dxa"/>
            <w:tcBorders/>
            <w:tcMar>
              <w:bottom w:w="0" w:type="dxa"/>
            </w:tcMar>
            <w:vAlign w:val="center"/>
          </w:tcPr>
          <w:p>
            <w:pPr>
              <w:pStyle w:val="TableContents"/>
              <w:bidi w:val="0"/>
              <w:spacing w:before="0" w:after="283"/>
              <w:jc w:val="center"/>
              <w:rPr/>
            </w:pPr>
            <w:r>
              <w:rPr/>
              <w:t> </w:t>
            </w:r>
          </w:p>
        </w:tc>
        <w:tc>
          <w:tcPr>
            <w:tcW w:w="144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Our</w:t>
              <w:br/>
              <w:t xml:space="preserve">principal </w:t>
              <w:br/>
              <w:t>revenue</w:t>
              <w:br/>
              <w:t>model</w:t>
            </w:r>
          </w:p>
        </w:tc>
      </w:tr>
      <w:tr>
        <w:trPr/>
        <w:tc>
          <w:tcPr>
            <w:tcW w:w="10205" w:type="dxa"/>
            <w:gridSpan w:val="7"/>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SEM Services</w:t>
            </w:r>
          </w:p>
        </w:tc>
      </w:tr>
      <w:tr>
        <w:trPr/>
        <w:tc>
          <w:tcPr>
            <w:tcW w:w="88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Search ads</w:t>
            </w:r>
          </w:p>
        </w:tc>
        <w:tc>
          <w:tcPr>
            <w:tcW w:w="60" w:type="dxa"/>
            <w:tcBorders/>
            <w:tcMar>
              <w:bottom w:w="0" w:type="dxa"/>
            </w:tcMar>
            <w:vAlign w:val="center"/>
          </w:tcPr>
          <w:p>
            <w:pPr>
              <w:pStyle w:val="TableContents"/>
              <w:bidi w:val="0"/>
              <w:spacing w:before="0" w:after="283"/>
              <w:jc w:val="left"/>
              <w:rPr/>
            </w:pPr>
            <w:r>
              <w:rPr/>
              <w:t> </w:t>
            </w:r>
          </w:p>
        </w:tc>
        <w:tc>
          <w:tcPr>
            <w:tcW w:w="61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Search ads are normally located at the top, or on the side of the search results page, or the related products of the search engine operators.</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Auction-based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mainly CPC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Non-auction-based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mainly CPT</w:t>
            </w:r>
          </w:p>
        </w:tc>
        <w:tc>
          <w:tcPr>
            <w:tcW w:w="60"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Rebates and incentives</w:t>
            </w:r>
          </w:p>
        </w:tc>
      </w:tr>
      <w:tr>
        <w:trPr/>
        <w:tc>
          <w:tcPr>
            <w:tcW w:w="10205" w:type="dxa"/>
            <w:gridSpan w:val="7"/>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Non-SEM services</w:t>
            </w:r>
          </w:p>
        </w:tc>
      </w:tr>
      <w:tr>
        <w:trPr/>
        <w:tc>
          <w:tcPr>
            <w:tcW w:w="88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In-feed ads</w:t>
            </w:r>
          </w:p>
        </w:tc>
        <w:tc>
          <w:tcPr>
            <w:tcW w:w="60" w:type="dxa"/>
            <w:tcBorders/>
            <w:tcMar>
              <w:bottom w:w="0" w:type="dxa"/>
            </w:tcMar>
            <w:vAlign w:val="center"/>
          </w:tcPr>
          <w:p>
            <w:pPr>
              <w:pStyle w:val="TableContents"/>
              <w:bidi w:val="0"/>
              <w:spacing w:before="0" w:after="283"/>
              <w:jc w:val="left"/>
              <w:rPr/>
            </w:pPr>
            <w:r>
              <w:rPr/>
              <w:t> </w:t>
            </w:r>
          </w:p>
        </w:tc>
        <w:tc>
          <w:tcPr>
            <w:tcW w:w="61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In-feed ads are advertisements that match the format, appearance and function of the platform upon which they appear, typically placed on short video sharing, social media and newsfeed platforms.</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CPM, CPC</w:t>
            </w:r>
          </w:p>
        </w:tc>
        <w:tc>
          <w:tcPr>
            <w:tcW w:w="60"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Rebates and incentives</w:t>
            </w:r>
          </w:p>
        </w:tc>
      </w:tr>
      <w:tr>
        <w:trPr/>
        <w:tc>
          <w:tcPr>
            <w:tcW w:w="88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Mobile app ads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Mobile app ads are displayed in apps with various formats such as banner ads, button ads, open screen ads, and interstitial ads.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CPT, CPA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6"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Net fees; rebates and incentives</w:t>
            </w:r>
          </w:p>
        </w:tc>
      </w:tr>
      <w:tr>
        <w:trPr/>
        <w:tc>
          <w:tcPr>
            <w:tcW w:w="88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media ads</w:t>
            </w:r>
          </w:p>
        </w:tc>
        <w:tc>
          <w:tcPr>
            <w:tcW w:w="60" w:type="dxa"/>
            <w:tcBorders/>
            <w:tcMar>
              <w:bottom w:w="0" w:type="dxa"/>
            </w:tcMar>
            <w:vAlign w:val="center"/>
          </w:tcPr>
          <w:p>
            <w:pPr>
              <w:pStyle w:val="TableContents"/>
              <w:bidi w:val="0"/>
              <w:spacing w:before="0" w:after="283"/>
              <w:jc w:val="left"/>
              <w:rPr/>
            </w:pPr>
            <w:r>
              <w:rPr/>
              <w:t> </w:t>
            </w:r>
          </w:p>
        </w:tc>
        <w:tc>
          <w:tcPr>
            <w:tcW w:w="61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Social media ads take the form of contents appearing in the designated blogs or social media accounts with suitable target audience.</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Mainly CPT</w:t>
            </w:r>
          </w:p>
        </w:tc>
        <w:tc>
          <w:tcPr>
            <w:tcW w:w="60" w:type="dxa"/>
            <w:tcBorders/>
            <w:tcMar>
              <w:bottom w:w="0" w:type="dxa"/>
            </w:tcMar>
            <w:vAlign w:val="center"/>
          </w:tcPr>
          <w:p>
            <w:pPr>
              <w:pStyle w:val="TableContents"/>
              <w:bidi w:val="0"/>
              <w:spacing w:before="0" w:after="283"/>
              <w:jc w:val="left"/>
              <w:rPr/>
            </w:pPr>
            <w:r>
              <w:rPr/>
              <w:t> </w:t>
            </w:r>
          </w:p>
        </w:tc>
        <w:tc>
          <w:tcPr>
            <w:tcW w:w="144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fees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billing decreased from $18.8 million in 2023 to $12.1 million in 2024, representing a decrease of 35.6%, and increased to $18.4 million in 2025. In the meantime, the media costs decreased from $17.8 million in 2023 to $11.5 million in 2024, and increased to $17.8 million in 2025, representing a decrease of 35.8% and an increase of 55.2%, respectively. Our revenue on a net basis (i.e. difference between gross billing and media costs) has decreased, in tandem our advertiser base and their advertising spend, from $0.9 million in 2023 to $0.6 million in 2024 and $0.6 million in 2025, representing a decrease of 32.3% and a decrease of 8.8%,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offshore holding company incorporated in the Cayman Islands and we are not a Chinese operating company. As a holding company with no operations of our own, our operations are conducted in China through our wholly owned PRC subsidiaries, Beijing Baosheng and its subsidiaries, Baosheng Network and its subsidiary, and Beijing Zhiding, and this structure involves unique risks to investors. Holders of our Ordinary Shares will not directly hold any equity interests in the operating entities. The Chinese regulatory authorities could disallow our corporate structure, which could result in a material change in our operations and the value of our Ordinary Shares could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adopted a VIE structure. The following diagram illustrates our current corporate structure, which includes our significant subsidiaries as of the date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029325" cy="3371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29325" cy="33718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of each shareholder’s ownership, please refer to the beneficial ownership table in “</w:t>
      </w:r>
      <w:r>
        <w:rPr>
          <w:rFonts w:ascii="Times New Roman;Times;Serif" w:hAnsi="Times New Roman;Times;Serif"/>
          <w:b w:val="false"/>
          <w:i/>
          <w:caps w:val="false"/>
          <w:smallCaps w:val="false"/>
          <w:sz w:val="20"/>
        </w:rPr>
        <w:t>Item 6. Directors, Senior Management and Employees—6.E. Share Ownership</w:t>
      </w:r>
      <w:r>
        <w:rPr>
          <w:rFonts w:ascii="Times New Roman;Times;Serif" w:hAnsi="Times New Roman;Times;Serif"/>
          <w:b w:val="false"/>
          <w:i w:val="false"/>
          <w:caps w:val="false"/>
          <w:smallCaps w:val="false"/>
          <w:sz w:val="20"/>
        </w:rPr>
        <w:t>”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Permissions Required from PRC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certain legal and operational risks associated with being based in China, which could cause the value of our securities to become worthless. PRC laws and regulations governing our current business operations are sometimes vague and uncertain, and as a result these risks may result in material changes in the operations of the PRC subsidiaries, significant depreciation of the value of our Ordinary Shares, or a complete hindrance of our ability to offer, or continue to offer, our securities to investors. Recently, the PRC government adopted a series of regulatory actions and issued statements to regulate business operations in China including cracking down on illegal activities in the securities market, adopting new measures to extend the scope of cybersecurity reviews, and expanding the efforts in anti-monopoly enforcement. As of the date of this prospectus, neither we nor our subsidiaries have been involved in any investigations on cybersecurity review initiated by any PRC regulatory authority, nor has any of them received any inquiry, notice, or sanction. </w:t>
      </w:r>
      <w:r>
        <w:rPr>
          <w:rFonts w:ascii="Times New Roman;Times;Serif" w:hAnsi="Times New Roman;Times;Serif"/>
          <w:b w:val="false"/>
          <w:i w:val="false"/>
          <w:caps w:val="false"/>
          <w:smallCaps w:val="false"/>
          <w:color w:val="000000"/>
          <w:sz w:val="20"/>
        </w:rPr>
        <w:t>As confirmed by our PRC counsel, ANLI Partners Law Offices, LLP (Tianjin), and following our internal compliance review, we have determined that, as of the date of this statement, we are not subject to any mandatory filing or application requirement for a cybersecurity review under the Measures for Cybersecurity Review (effective February 15, 2022). Our determination is based on the following considerations: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Overseas Listing Review. Article 7 of the Measures for Cybersecurity Review provides that a network platform operator that processes the personal information of more than one million users must apply for a cybersecurity review before conducting an overseas listing. We currently do not process the personal information of more than one million users and do not anticipate reaching this threshold in the foreseeable future. Accordingly, we do not currently fall within the scope of the mandatory cybersecurity review requirement under Article 7.</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 National Security Considerations. Article 2 of the Measures for Cybersecurity Review provides that network platform operators that conduct data processing activities that affect or may affect national security are subject to cybersecurity review in accordance with the Measures. Based on our current assessment of our data processing activities, we do not believe that we currently process data or engage in data processing activities that would cause us to fall within this provision or otherwise give rise to a cybersecurity review on national security grounds.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Cross-Border Data Transfers. We currently do not provide personal information or important data to entities or recipients outside China. If we engage in cross-border data transfers in the future, we will assess the applicable regulatory requirements based on the volume and nature of the data being transferred. In particular, under the Security Assessment of Outbound Data Transfer (Third Edition), a non-critical information infrastructure operator that transfers data overseas may be required to apply for a data export security assessment if, during the period beginning January 1 of the relevant year, it has cumulatively transferred the personal information of more than one million individuals (excluding sensitive personal information) or more than 10,000 individuals’ sensitive personal information, as applicable. We currently do not process personal information or sensitive personal information in amounts exceeding these thresholds, nor do we anticipate reaching such thresholds in the foreseeable future. In addition, pursuant to Article 7 of the Measures for the Certification of the Outbound Transfer of Personal Information and Article 35 of the Regulation on Network Data Security Management, where applicable, compliance with the relevant requirements may be satisfied through personal information protection certification or standard contractual arrangements, rather than necessarily requiring a data export security assessment in all circumstances.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 Compliance with the Regulation on Network Data Security Management. The Regulations on Network Data Security Management became effective on January 1, 2025, replacing the prior draft regulations issued for public consultation. We have conducted a comprehensive assessment of our compliance with the Regulations on Network Data Security Management and based on our current business activities and data processing practices, have determined that we do not currently fall within the scope of any mandatory requirements thereunder that would require a filing, application, assessment, or other regulatory action.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legal opinion provided by our Chinese legal counsel, ANLI Partners Law Offices, LLP (Tianjin), China has established a comprehensive regulatory framework governing cybersecurity, data security, personal information protection, and cross-border data transfers. This framework includes, among other laws and regulations, the Cybersecurity Law, Data Security Law, Personal Information Protection Law, Regulation on Protecting the Security of Critical Information Infrastructure,Regulation on Network Data Security Management, Measures for the Security Assessment of Outbound Data Transfer, Measures for the Standard Contract for the Outbound Transfer of Personal Information,Measures for the Certification of the Outbound Transfer of Personal Information,Provisions on Promoting and Regulating Cross-border Data Flow, Security Assessment of Outbound Data Transfer (Third Edition), etc. The regulatory environment in China has become increasingly stringent, with heightened regulatory scrutiny and enforcement and potentially significant legal liabilities for non-compliance. Accordingly, we will continue to monitor key compliance indicators, including the number of users whose personal information we process, the nature and volume of data we process, and any requirements relating to cross-border data transfers. We understand that, if our data processing activities in the future involve important data or personal information in amounts or circumstances that meet applicable statutory or regulatory thresholds, or otherwise fall within the scope of any mandatory cybersecurity, data export, or other regulatory review, we will take such actions as may be necessary to satisfy the applicable filing, application, assessment, certification, contractual, or other compliance requirements. We will continue to monitor developments in applicable PRC laws and regulations and take appropriate measures to ensure that our business operations and any securities offering or listing process comply with applicable requirements Based upon the legal opinion provided by our PRC counsel, ANLI Partners Law Offices, LLP (Tianjin), and in light of applicable PRC policies and regulatory provisions, it is concluded that, we are not subject to cybersecurity review with the CAC, under the Measures for Cybersecurity Censorship which became effective on February 15, 2022, since we currently do not have over one million users’ personal information and do not anticipate that we will be collecting over one million users’ personal information in the foreseeable future, which we understand might otherwise subject us to the Measures for Cybersecurity Censorship; we are also not subject to network data security review by the CAC under the Regulation on Network Data Security Managemen,which became effective on January 1, 2025, since we currently do not have over one million users’ personal information and do not collect data that affects or may affect national security and we do not anticipate that we will be collecting over one million users’ personal information or data that affects or may affect national security in the foreseeable future, which we understand might otherwise subject us to the Regulation on Network Data Security Managemen. See “</w:t>
      </w:r>
      <w:r>
        <w:rPr>
          <w:rFonts w:ascii="Times New Roman;Times;Serif" w:hAnsi="Times New Roman;Times;Serif"/>
          <w:b w:val="false"/>
          <w:i/>
          <w:caps w:val="false"/>
          <w:smallCaps w:val="false"/>
          <w:sz w:val="20"/>
        </w:rPr>
        <w:t>Item 3. Key Information—D. Risk Factor— Risks Related to Doing Business in China— Recent greater oversight by the Cyberspace Administration of China, or the CAC, over data security, particularly for companies seeking to list on a foreign exchange, could adversely impact our business and our offering.</w:t>
      </w:r>
      <w:r>
        <w:rPr>
          <w:rFonts w:ascii="Times New Roman;Times;Serif" w:hAnsi="Times New Roman;Times;Serif"/>
          <w:b w:val="false"/>
          <w:i w:val="false"/>
          <w:caps w:val="false"/>
          <w:smallCaps w:val="false"/>
          <w:sz w:val="20"/>
        </w:rPr>
        <w:t>”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also exerts more control over offerings conducted overseas and foreign investment in China-based issuers. Furthermore, on February 17, 2023, the CSRC released the Trial Measures and five supporting guidelines, which took effect on March 31, 2023. Pursuant to the Trial Measures, if a domestic company fails to complete required filing procedures or conceals any material fact or falsifies any major content in its filing documents, such domestic company may be subject to administrative penalties, such as an order to rectify, warnings, fines, and its controlling shareholders, actual controllers, the person directly in charge and other directly liable persons may also be subject to administrative penalties, such as warnings and fines. On the same day, the CSRC also held a press conference for the release of the Trial Measures and issued the CSRC Notice, which, among others, clarifies that PRC domestic companies that have already been listed overseas before the effective date of the Trial Measures, which is March 31, 2023, shall be deemed as Existing Issuers, and Existing Issuers are not required to complete the filing procedures with the CSRC immediately, and they shall be required to file with the CSRC for any subsequent offerings. Based on the foregoing, we are an Existing Issuer, and is required to file with the CSRC for any subsequent offerings within three (3) working days after the completion of each offering. Therefore, we are required to go through filing procedures through our major operating entity incorporated in the PRC with the CSRC within three (3) working days after the completion of an offering pursuant to any accompanying prospectus supplement, and prepare a summary report to the CSRC after the completion of all offerings under this prospectus. We intend to comply with the Trial Measures for subsequent offerings under this registration statement on Form F-3. Other than the CSRC filing procedures we are required to make within three working days after the completion of an offering made pursuant to this prospectus or any accompanying prospectus supplement, we and our PRC subsidiaries, based upon the legal opinion provided by our PRC legal counsel, ANLI Partners Law Offices, LLP (Tianjin), and in light of applicable PRC policies and regulatory provisions, it is concluded that,(1) are not required to obtain permissions from the CSRC, and (2) have not been required to obtain or denied such and other permissions by the CSRC, CAC, or any PRC government authority, under current PRC laws, regulations and rules in connection with a potential offering made pursuant to this prospectus or any accompanying prospectus supplement as of the date of this prospectus. Based upon the legal opinion provided by our PRC legal counsel, ANLI Partners Law Offices, LLP (Tianjin), and in light of applicable PRC policies and regulatory provisions, it is concluded that, are not required to obtain permissions from the CSRC, and (2) have not been required to obtain or denied such and other permissions by the CSRC, CAC, or any PRC government authority, under current PRC laws, regulations and rules in connection with a potential offering made pursuant to this prospectus or any accompanying prospectus supplement as of the date of this prospectus. See “</w:t>
      </w:r>
      <w:r>
        <w:rPr>
          <w:rFonts w:ascii="Times New Roman;Times;Serif" w:hAnsi="Times New Roman;Times;Serif"/>
          <w:b w:val="false"/>
          <w:i/>
          <w:caps w:val="false"/>
          <w:smallCaps w:val="false"/>
          <w:sz w:val="20"/>
        </w:rPr>
        <w:t>Item 3. Key Information — D. Risk Factor — Risk Factors—Risks Related to Doing Business in China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2021, the Chinese government has strengthened its anti-monopoly supervision, mainly in three aspects: (i) establishing the National Anti-Monopoly Bureau; (ii) revising and promulgating anti-monopoly laws and regulations, including: the Anti-Monopoly Law of the PRC (amended on June 24, 2022 and effective on August 1, 2008), the anti-monopoly guidelines for various industries, and the Detailed Rules for the Implementation of the Fair Competition Review System; and (iii) expanding the anti-monopoly law enforcement targeting Internet companies and large enterprises. As of the date of this prospectus, the Chinese government’s recent statements and regulatory actions related to anti-monopoly concerns have not impacted our or our subsidiaries’ ability to conduct business, our ability to accept foreign investments or issue our securities to foreign investors because neither we nor our subsidiaries engage in monopolistic behaviors that are subject to these statements or regulatory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and our subsidiaries have received from the PRC authorities all requisite licenses, permissions, and approvals needed to engage in the businesses currently conducted in the PRC, which solely include the business licenses that authorize the scope of business operations, and no permission or approval has been denied. As of the date of this prospectus, each of our PRC subsidiaries has obtained its business license to engage in the respective business currently being conducted by it in the PRC. For us to offer the securities being registered hereunder to foreign investors, we are required to submit filings with the CSRC within three (3) working days after completion of an offering by the Company. For details regarding this approval requirement, see the above discussion under —Permissions Required from PRC Authorities.” However, we are not required to obtain any permissions or approvals to operate our business or to offer securities being registered hereunder to foreign investors, and no permission or approval has been denied. However, we cannot assure you that we will be able to receive clearance of any compliance requirements imposed on us in a timely manner, or at all. Any failure to fully comply with such compliance requirements may cause our PRC subsidiaries to be unable to conduct their businesses or operations in the PRC, subject them to fines, business suspension, or other sanctions.  If we and/or our subsidiaries do not receive or maintain the approvals, or we inadvertently conclude that such approvals are not required, or applicable laws, regulations, or interpretations change such that we and/or our subsidiaries are required to obtain approval in the future, we may be subject to an investigation by competent regulators, fines or penalties, ordered to suspend our relevant business and rectify, and/or prohibited from engaging in the relevant business, and these risks could result in a material adverse change in our operations, significantly limit or completely hinder our ability to offer or continue to offer securities to investors, or cause such securities to significantly decline in value or become worthless. See “Risk Factors—Risks Related to Doing Business in China”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Ordinary Shares may be prohibited from trading on a national exchange or over-the-counter under the HFCA Act if the PCAOB is unable to inspect our auditors for three consecutive years beginning in 2021. Our auditor, GGF CPA LTD, headquartered in Guangzhou, China, has been inspected by the PCAOB on a regular basis and it is not subject to the determinations announced by the PCAOB on December 16, 2021. If trading in our Ordinary Shares is prohibited under the HFCA Act in the future because the PCAOB determines that it cannot inspect or fully investigate our auditor at such future time, Nasdaq may determine to delist or prohibit the trading of our Ordinary Shares. On June 22, 2021, the U.S. Senate passed the Accelerating Holding Foreign Companies Accountable Act, and on December 29, 2022, legislation entitled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delisting of our Company and the prohibition of trading in our securities if the PCAOB is unable to inspect our accounting firm at such future time. If trading in the Ordinary Shares is prohibited under the HFCA Act in the future because the PCAOB determines that it cannot inspect or fully investigate our auditor at such future time, Nasdaq may determine to delist our Ordinary Shares and trading in our Ordinary Shares could be prohibited. See “</w:t>
      </w:r>
      <w:r>
        <w:rPr>
          <w:rFonts w:ascii="Times New Roman;Times;Serif" w:hAnsi="Times New Roman;Times;Serif"/>
          <w:b w:val="false"/>
          <w:i/>
          <w:caps w:val="false"/>
          <w:smallCaps w:val="false"/>
          <w:sz w:val="20"/>
        </w:rPr>
        <w:t>Item 3. Key Information — D. Risk Factors — Risks Related to Doing Business in China—Our Ordinary Shares may be delisted and prohibited from being traded under the Holding Foreign Companies Accountable Act if the PCAOB is unable to inspect our auditors. The delisting and the cessation of trading of our Ordinary Shares, or the treat of their being delisted and prohibited from being traded, may materially and adversely affect the value of your investment. Additionally, any inability of the PCAOB to conduct inspections deprives our investors with the benefits of such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have a cash management policy in place that dictates how funds are transferred between us and our subsidiaries, or investors. We are a holding company, and we may rely on dividends and other distributions on equity paid by our PRC subsidiaries for our cash and financing requirements, including the furnishing of funds necessary to pay dividends and other cash distributions to our shareholders or to service any debt we may incur. If any of our PRC subsidiaries incurs debt on its own behalf in the future, the instruments governing such debt may restrict their ability to pay dividends to us. There have not been any such dividends or other distributions from our PRC subsidiaries to our subsidiaries located outside of China, as of the date of this prospectus. In addition, as of the date of this prospectus, none of our subsidiaries have ever issued any dividends or distributions to us or their respective shareholders outside of China, and neither we nor any of our subsidiaries have ever paid dividends or made distributions to U.S. investors. Other than the following transactions, no cash transfers have occurred among us and our subsidiaries: (i) our Hong Kong subsidiary, Baosheng Hong Kong, received cash of $38.3 million from us, which represented proceeds raised in the initial public offering of our Ordinary Shares in February 2021, and the private placement of our Ordinary Shares and warrants in March 2021, (ii) on March 16, 2021, Baosheng Hong Kong transferred cash of $6 million, in the form of shareholder loans, to its wholly owned subsidiary, Beijing Baosheng, (iii) in April 2021 and August 2021, Baosheng Hong Kong transferred cash in the aggregate of $30.79 million, in the form of capital contributions, to its wholly owned subsidiary, Baosheng Network and (iv) in 2023, Baosheng Hong Kong transferred cash in the aggregate of $350,000 to the Company. In the future, cash proceeds raised from overseas financing activities may be transferred by us to our PRC subsidiaries by means of capital contributions or shareholder loans, as the case may be. Notwithstanding the recent judgment against Beijing Baosheng, described more particularly under “</w:t>
      </w:r>
      <w:r>
        <w:rPr>
          <w:rFonts w:ascii="Times New Roman;Times;Serif" w:hAnsi="Times New Roman;Times;Serif"/>
          <w:b w:val="false"/>
          <w:i/>
          <w:caps w:val="false"/>
          <w:smallCaps w:val="false"/>
          <w:sz w:val="20"/>
        </w:rPr>
        <w:t>Item 4. Information on the Company—B. Business Overview—Legal Proceedings</w:t>
      </w:r>
      <w:r>
        <w:rPr>
          <w:rFonts w:ascii="Times New Roman;Times;Serif" w:hAnsi="Times New Roman;Times;Serif"/>
          <w:b w:val="false"/>
          <w:i w:val="false"/>
          <w:caps w:val="false"/>
          <w:smallCaps w:val="false"/>
          <w:sz w:val="20"/>
        </w:rPr>
        <w:t>” in 2025 Annual Report, we do not expect that the court’s ruling will impact the cash transferring through the organization. See “</w:t>
      </w:r>
      <w:r>
        <w:rPr>
          <w:rFonts w:ascii="Times New Roman;Times;Serif" w:hAnsi="Times New Roman;Times;Serif"/>
          <w:b w:val="false"/>
          <w:i/>
          <w:caps w:val="false"/>
          <w:smallCaps w:val="false"/>
          <w:sz w:val="20"/>
        </w:rPr>
        <w:t>Item 18. Financial Statements</w:t>
      </w:r>
      <w:r>
        <w:rPr>
          <w:rFonts w:ascii="Times New Roman;Times;Serif" w:hAnsi="Times New Roman;Times;Serif"/>
          <w:b w:val="false"/>
          <w:i w:val="false"/>
          <w:caps w:val="false"/>
          <w:smallCaps w:val="false"/>
          <w:sz w:val="20"/>
        </w:rPr>
        <w:t>” starting on page F-1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Foreign Investment Law of the People’s Republic of China and its implementing rules, which jointly established the legal framework for the administration of foreign-invested companies, a foreign investor may, in accordance with other applicable laws, freely transfer into or out of China its contributions, profits, capital earnings, income from asset disposal, intellectual property rights, royalties acquired, compensation or indemnity legally obtained, and income from liquidation, made or derived within the territory of China in RMB or any foreign currency, and any entity or individual shall not illegally restrict such transfer in terms of the currency, amount and frequency. According to the Company Law of the People’s Republic of China and other Chinese laws and regulations, our PRC subsidiaries may pay dividends only out of their respective accumulated profits as determined in accordance with Chinese accounting standards and regulations. In addition, each of our PRC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PRC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PRC subsidiaries may allocate a portion of their after-tax profits based on Chinese accounting standards to a discretionary reserve fund. See “</w:t>
      </w:r>
      <w:r>
        <w:rPr>
          <w:rFonts w:ascii="Times New Roman;Times;Serif" w:hAnsi="Times New Roman;Times;Serif"/>
          <w:b w:val="false"/>
          <w:i/>
          <w:caps w:val="false"/>
          <w:smallCaps w:val="false"/>
          <w:sz w:val="20"/>
        </w:rPr>
        <w:t>Item 3. Key Information – D. Risk Factors — Risks Related to Doing Business in China — We may rely on dividends paid by our subsidiaries for our cash needs, and any limitation on the ability of our subsidiaries to make payments to us could have a material adverse effect on our ability to conduct business</w:t>
      </w:r>
      <w:r>
        <w:rPr>
          <w:rFonts w:ascii="Times New Roman;Times;Serif" w:hAnsi="Times New Roman;Times;Serif"/>
          <w:b w:val="false"/>
          <w:i w:val="false"/>
          <w:caps w:val="false"/>
          <w:smallCaps w:val="false"/>
          <w:sz w:val="20"/>
        </w:rPr>
        <w:t>.” on page 33 of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Renminbi is not freely convertible into other currencies. As a result, any restriction on currency exchange may limit the ability of our PRC operating subsidiaries to use their potential future Renminbi revenues to pay dividends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our offshore entities for our offshore entities to pay dividends or make other payments or otherwise to satisfy our foreign-currency-denominated obligations. The Renminbi is currently convertible under the “current account,” which includes dividends, trade and service-related foreign exchange transactions, but not under the “capital account,” which includes foreign direct investment and foreign currency debt, including loans we may secure for our onshore subsidiaries. Currently, our PRC subsidiaries may purchase foreign currency for settlement of “current account transactions,” including payment of dividends to us, without the approval of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SAFE for cross-border transactions falling under both the current account and the capital account. Any existing and future restrictions on currency exchange may limit our ability to utilize revenue generated in Renminbi to pay dividends in foreign currencies to holders of our securities. Foreign exchange transactions under the capital account remain subject to limitations and require approvals from, or registration with, SAFE and other relevant Chinese governmental authorities. This could affect our ability to obtain foreign currency through debt or equity financing for our subsidiaries. See “</w:t>
      </w:r>
      <w:r>
        <w:rPr>
          <w:rFonts w:ascii="Times New Roman;Times;Serif" w:hAnsi="Times New Roman;Times;Serif"/>
          <w:b w:val="false"/>
          <w:i/>
          <w:caps w:val="false"/>
          <w:smallCaps w:val="false"/>
          <w:sz w:val="20"/>
        </w:rPr>
        <w:t>Item 3. Key Information – D.Risk Factors—Risks Related to Doing Business in China—We may rely on dividends paid by our subsidiaries for our cash needs, and any limitation on the ability of our subsidiaries to make payments to us could have a material adverse effect on our ability to conduct business”</w:t>
      </w:r>
      <w:r>
        <w:rPr>
          <w:rFonts w:ascii="Times New Roman;Times;Serif" w:hAnsi="Times New Roman;Times;Serif"/>
          <w:b w:val="false"/>
          <w:i w:val="false"/>
          <w:caps w:val="false"/>
          <w:smallCaps w:val="false"/>
          <w:sz w:val="20"/>
        </w:rPr>
        <w:t xml:space="preserve"> on page 30 of our 2025 Annual Report for a detailed discussion of the Chinese legal restrictions on the payment of dividends and our ability to transfer cash within our group. In addition, holders of our Ordinary Shares may potentially be subject to Chinese taxes on dividends paid by us in the event we are deemed a Chinese resident enterprise for Chinese tax purposes. See “</w:t>
      </w:r>
      <w:r>
        <w:rPr>
          <w:rFonts w:ascii="Times New Roman;Times;Serif" w:hAnsi="Times New Roman;Times;Serif"/>
          <w:b w:val="false"/>
          <w:i/>
          <w:caps w:val="false"/>
          <w:smallCaps w:val="false"/>
          <w:sz w:val="20"/>
        </w:rPr>
        <w:t>Item 3. Key Information – D. Risk Factors — Risks Related to Doing Business in China — You may be subject to PRC income tax on dividends from us or on any gain realized on the transfer of our Ordinary Shares</w:t>
      </w:r>
      <w:r>
        <w:rPr>
          <w:rFonts w:ascii="Times New Roman;Times;Serif" w:hAnsi="Times New Roman;Times;Serif"/>
          <w:b w:val="false"/>
          <w:i w:val="false"/>
          <w:caps w:val="false"/>
          <w:smallCaps w:val="false"/>
          <w:sz w:val="20"/>
        </w:rPr>
        <w:t>” on page 35 of our 2025 Annual Report.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See “</w:t>
      </w:r>
      <w:r>
        <w:rPr>
          <w:rFonts w:ascii="Times New Roman;Times;Serif" w:hAnsi="Times New Roman;Times;Serif"/>
          <w:b w:val="false"/>
          <w:i/>
          <w:caps w:val="false"/>
          <w:smallCaps w:val="false"/>
          <w:sz w:val="20"/>
        </w:rPr>
        <w:t>Item 3. Key Information – D. Risk Factors — Risks Related to Doing Business in China — 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w:t>
      </w:r>
      <w:r>
        <w:rPr>
          <w:rFonts w:ascii="Times New Roman;Times;Serif" w:hAnsi="Times New Roman;Times;Serif"/>
          <w:b w:val="false"/>
          <w:i w:val="false"/>
          <w:caps w:val="false"/>
          <w:smallCaps w:val="false"/>
          <w:sz w:val="20"/>
        </w:rPr>
        <w:t>” on page 32 of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Ordinary Shares involves significant risks. You should carefully consider all of the information in this prospectus before making an investment in our Ordinary Shares. Below please find a summary of the principal risks we face, organized under relevant headings. These risks are discussed more fully under “</w:t>
      </w:r>
      <w:r>
        <w:rPr>
          <w:rFonts w:ascii="Times New Roman;Times;Serif" w:hAnsi="Times New Roman;Times;Serif"/>
          <w:b w:val="false"/>
          <w:i/>
          <w:caps w:val="false"/>
          <w:smallCaps w:val="false"/>
          <w:sz w:val="20"/>
        </w:rPr>
        <w:t>Item 3. Key Information — D. Risk Factors</w:t>
      </w:r>
      <w:r>
        <w:rPr>
          <w:rFonts w:ascii="Times New Roman;Times;Serif" w:hAnsi="Times New Roman;Times;Serif"/>
          <w:b w:val="false"/>
          <w:i w:val="false"/>
          <w:caps w:val="false"/>
          <w:smallCaps w:val="false"/>
          <w:sz w:val="20"/>
        </w:rPr>
        <w:t>”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business and industry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involved in legal proceedings and related disputes, and an adverse outcome—or the costs, diversion of management time, and reputational impact of defending these matters—could materially adversely affect us. See page 8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expenses incurred in litigation increase our operational costs and adversely affect our cash flow. See page 9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Cutbacks on advertising budgets by advertisers, changes in rebate and incentive policies by the media, failure to maintain and grow our advertiser base and secure emerging media resources could all materially and adversely affect our business and financial condition. See page 9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maintain our relationships with our business stakeholders, mainly advertisers and media, our business, results of operations, financial condition and business prospects could be materially and adversely affected. See page 10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appropriately evaluate the credit profile of our advertisers or effectively manage our credit risk associated with credit terms granted to our advertisers and/or delay in settlement of accounts receivable from our advertisers could materially and adversely impact our operating cash flow and may result in significant provisions and impairments on our accounts receivable which in turn would have a material adverse impact on our business operations, results of operation, financial condition and our business pursuits and prospects. See page 11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our advertisers delay in settlement of our accounts receivable or if we are unable to issue invoices to our advertisers on a timely basis, our business, financial condition and results of operations may be materially and adversely affected. See page 12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we continue to strive for business growth, we may continue to experience net cash outflow from operating activities, and we cannot assure you that we can maintain sufficient net cash inflows from operating activities. See page 12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limited operating history in a rapidly evolving industry makes it difficult to accurately forecast our future operating results and evaluate our business prospects. See page 13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customers contributed to a significant percentage of our total revenue during the fiscal years 2025, 2024 and 2023, and losing one or more of them could result in a material adverse impact on our financial performance and business prospects. See page 13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in the highly competitive online advertising service industry and we may not be able to compete successfully against existing or new competitors, which could reduce our market share and adversely affect our competitive position and financial performance. See page 14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improve our services to keep up with the rapidly changing demands, preferences, advertising trends or technologies in the online advertising industry, our revenues and growth could be adversely affected. See page 15 of our 2025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Limitations on the availability of data and our ability to analyze such data could significantly restrict our optimization capability and cause us to lose advertisers, which may harm our business and results of operations. See page 15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regulatory environment of the online advertising industry is rapidly evolving. If we fail to obtain and maintain the requisite licenses and approvals as applicable to our businesses in China from time to time, our business, financial condition and results of operations may be materially and adversely affected. See page 15 of our 2025 Annual Report;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t>We may be adversely affected by the complexity, uncertainties and changes in the regulation of internet-related businesses and companies in China. See page 16 of our 2025 Annual Report.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Non-compliance with laws and regulations on the part of any third parties with which we conduct business could expose us to legal expenses, compensations to third parties, penalties and disruption of our business, which may adversely affect our results of operations and financial performance. See page 16 of our 2025 Annual Report.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Regulation and censorship of information disseminated through the Internet in China may adversely affect our business in China, and we may be liable for content disseminated by us through the Internet. See page 17 of our 2025 Annual Report.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subject to, and may expend significant resources in defending against, government actions and civil claims in connection with false, fraudulent, misleading or otherwise illegal marketing content for which we provide agency services. See page 17 of our 2025 Annual Report.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or our media clients sustain cyber-attacks or other privacy or data security incidents that result in security breaches, we could be subject to increased costs, liabilities, reputational harm or other negative consequences. See page 18 of our 2025 Annual Report.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negative publicity about us, our services and our management may materially and adversely affect our reputation and business. See page 18 of our 2025 Annual Report.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manage our growth or execute our strategies and future plans effectively, we may not be able to take advantage of market opportunities or meet the demands of our advertisers. See page 19 of our 2025 Annual Report.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be able to obtain the additional capital we need in a timely manner or on acceptable terms, or at all. See page 19 of our 2025 Annual Report.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Seasonal fluctuations in advertising activities could have a material impact on our revenues, cash flow and operating results. See page 20 of our 2025 Annual Report.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attract, recruit or retain our key personnel including our executive officers, senior management and key employees, our ongoing operations and growth could be affected. See page 20 of our 2025 Annual Report.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Unauthorized use of our intellectual property by third parties and expenses incurred in protecting our intellectual property rights may adversely affect our business, reputation and competitive edge. See page 20 of our 2025 Annual Report.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Third parties may claim that we infringe their proprietary intellectual property rights, which could cause us to incur significant legal expenses and prevent us from promoting our services. See page 21 of our 2025 Annual Report.</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have sufficient insurance coverage to cover our potential liability or losses and as a result, our business, financial condition, results of operations and prospects may be materially and adversely affected should any such liability or losses arise. See page 21 of our 2025 Annual Report.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claims, government investigations or other regulatory enforcement actions could subject us to civil and criminal penalties. See page 21 of our 2025 Annual Report.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identified material weaknesses in our internal control over financial reporting. If we fail to develop and maintain an effective system of internal control over financial reporting, we may be unable to accurately report our financial results or prevent fraud. See page 21 of our 2025 Annual Report.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risks related to natural disasters and health epidemics. See page 22 of our 2025 Annual Report.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ongoing effects of COVID-19 in China may have a material adverse effect on our business. See page 22 of our 2025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and uncertainties related to doing business in the PRC in general,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 changes in political and economic policies of the PRC government could have a material adverse effect on the overall economic growth of the PRC, which could reduce the demand for our products and materially and adversely affect our competitive position. See page 23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regarding interpretation and enforcement of the laws, rules and regulations in China may impose adverse impact on our business, operations and profitability. See page 23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policies, regulations, rules, and the enforcement of laws of the PRC government may be quick with little advance notice and could have a significant impact upon our ability to operate profitably in the PRC. See page 23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Chinese government exerts substantial influence over the manner in which we must conduct our business, and may intervene or influence our operations at any time, or may exert more control over offerings conducted overseas and/or foreign investment in China-based issuers, which could result in a material change in our operations, significantly limit or completely hinder our ability to offer or continue to offer securities to investors and, and cause the value of our Ordinary Shares to significantly decline or be worthless. See page 24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Recent greater oversight by the Cyberspace Administration of China, or the CAC, over data security, particularly for companies seeking to list on a foreign exchange, could adversely impact our business and our offering. See page 26 of our 2025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Opinions on Severely Cracking Down on Illegal Securities Activities According to Law recently issued by the General Office of the Central Committee of the Communist Party of China and the General Office of the State Council may subject us to additional compliance requirement in the future. See page 27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Labor Contract Law and other labor-related laws in the PRC may adversely affect our business and our results of operations. See page 27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Enterprise Income Tax Law, we may be classified as a “Resident Enterprise” of China. Such classification will likely result in unfavorable tax consequences to us and our non-PRC shareholders. See page 28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may be subject to PRC income tax on dividends from us or on any gain realized on the transfer of our Ordinary Shares. See page 28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PRC regulation of loans to PRC entities by offshore holding companies and governmental control of currency conversion may delay or prevent us from using proceeds from our future financing activities to make loans to our PRC operating subsidiaries, which might adversely affect our liquidity and our ability to fund and expand our business. See page 29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cash in the business is in the PRC/Hong Kong or a PRC/Hong Kong entity, the funds may not be available to fund operations or for other use outside of the PRC/Hong Kong due to interventions in or the imposition of restrictions and limitations on the ability of our Company or our subsidiaries by the PRC government to transfer cash. See page 30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rely on dividends paid by our subsidiaries for our cash needs, and any limitation on the ability of our subsidiaries to make payments to us could have a material adverse effect on our ability to conduct business. See page 30 of our 2025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comply with PRC regulations relating to the establishment of offshore special purpose companies by PRC residents may subject our PRC resident shareholders to personal liability, may limit our ability to acquire PRC companies or to inject capital into our PRC subsidiaries, may limit the ability of our PRC subsidiaries to distribute profits to us or may otherwise materially and adversely affect us. See page 32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unable to complete a business combination transaction efficiently or on favorable terms due to complicated merger and acquisition regulations and certain other PRC regulations. See page 32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uncertainties with respect to indirect transfers of equity interests in PRC resident enterprises by their non-PRC holding companies. See page 33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may have difficulty effecting service of legal process, enforcing judgments or bringing actions against us and our management. See page 34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regulatory bodies may be limited in their ability to conduct investigations or inspections of our operations in China. See page 34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Ordinary Shares may be delisted and prohibited from being traded under the Holding Foreign Companies Accountable Act if the PCAOB is unable to inspect our auditors. The delisting and the cessation of trading of our Ordinary Shares, or the treat of their being delisted and prohibited from being traded, may materially and adversely affect the value of your investment. Additionally, any inability of the PCAOB to conduct inspections deprives our investors with the benefits of such inspections. See page 35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exposed to liabilities under the Foreign Corrupt Practices Act and Chinese anti-corruption law. See page 35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our business is conducted in RMB and the price of our Ordinary Shares is quoted in the U.S. dollar, changes in the exchange rate between RMB and the U.S. dollar may affect the value of your investments. See page 36 of our 2025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described above, we are subject to general risks and uncertainties related to our Ordinary Shares and the trading market,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eligible for future sale may adversely affect the market price of our Ordinary Shares, as the future sale of a substantial amount of outstanding Ordinary Shares in the public marketplace could reduce the price of our Ordinary Shares. See page 36 of our 2025 Annual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cannot assure you that we will declare and distribute any dividends in the future. See page 36 of our 2025 Annual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as long as we are an emerging growth company, we will not be required to comply with certain reporting requirements, including those relating to accounting standards and disclosure about our executive compensation, that apply to other public companies. See page 37 of our 2025 Annual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foreign private issuer, we are not subject to certain U.S. securities law disclosure requirements that apply to a domestic U.S. issuer, which may limit the information publicly available to our shareholders. See page 37 of our 2025 Annual Report;</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foreign private issuer,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complied fully with corporate governance listing standards. See page 38 of our 2025 Annual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lose our foreign private issuer status in the future, which could result in significant additional costs and expenses. See page 38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requirements of being a public company may strain our resources and divert management’s attention. See page 38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obligation to disclose information publicly may put us at a disadvantage to competitors that are private companies. See page 39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laws of the Cayman Islands may not provide our shareholders with benefits comparable to those provided to shareholders of corporations incorporated in the United States. For instance, you may face difficulties in protecting your interests, and your ability to protect your rights through U.S. courts may be limited, because we are incorporated under Cayman Islands law. See page 39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may be unable to present proposals before annual general meetings or extraordinary general meetings not called by shareholders. See page 40 of our 2025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cannot satisfy, or continue to satisfy, the continued listing requirements and other rules of the Nasdaq Capital Market, our securities may be delisted, which could negatively impact the price of our securities and your ability to sell them. See page 40 of our 2025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involved in winding-up proceedings in the Cayman Islands, and an adverse outcome could materially and adversely affect the validity of the issuance of the Ordinary Shares by the Company in relation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2024, Orient Plus International Limited (the “Petitioner”) filed with the Grand Court of the Cayman Islands a winding up petition (“Petition”), seeking an order that our company be wound up pursuant to section 92(e) of the Cayman Companies Act, claiming that the management of our company have acted unfairly and/or oppressively towards the Petitioner, the other investors and other minority shareholders, and/or the affairs of our company have been conducted with a lack of probity, and the Petitioner and the other investors have justifiably lost confidence in the management of our company. By a summons dated July 10, 2024, our company applied for an order striking out the Petition, which was heard by the court on October 17, 2024. The court dismissed the summons on October 30, 2024. The legal proceedings are currently ongoing. As of the date of this report, the parties are in the midst of discovery. Our company believes that the Petition is without any merit and intends to defend the matter vigorously. This legal proceeding may continue for an extended period of time, and we cannot predict their outcome.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99 of the Cayman Companies Act, when a winding-up order has been made, any disposition of the company’s property and any transfer of shares or alteration in the status of the company’s members made after the commencement of the winding-up (i.e., the date when the Petition was first filed) is void, unless the Grand Court of the Cayman Islands otherwise orders. The Company does not plan to obtain a validation order and if this proceeding is determined adversely and a winding-up order is made against the Company, the issuance and allotment of the Ordinary Shares by the Company in relation to this offering under this Registration Statement would be rendered void and the register of members of the Company shall revert to the position as at the date of the presentation of the winding-up 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Private Issuer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Exchange Act. As such, we are exempt from certain provisions applicable to United States domestic public companies. For example: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provide as many Exchange Act reports, or as frequently, as a domestic public company;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interim reporting, we are permitted to comply solely with our home country requirements, which are less rigorous than the rules that apply to domestic public companies;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provide the same level of disclosure on certain issues, such as executive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exempt from provisions of Regulation FD aimed at preventing issuers from making selective disclosures of material information;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required to comply with the sections of the Exchange Act regulating the solicitation of proxies, consents or authorizations in respect of a security registered under the Exchange Act;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although, effective March 18, 2026, our directors and executive officers are subject to the reporting requirements of Section 16(a) of the Exchange Act, we remain exempt from the short-swing profit recovery provisions of Section 16(b) of the Exchange Act and the related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2012, President Obama signed into law the Jumpstart Our Business Startups Act, or the JOBS Act. As a company with less than US$1.235 billion in revenue for the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(i) the last day of our fiscal year during which we have total annual gross revenues of at least US$1.235 billion; (ii) the last day of our fiscal year following the fifth anniversary of the completion of our initial public offering; (iii) the date on which we have, during the previous three year period, issued more than US$1.0 billion in non-convertible debt; or (iv) the date on which we are deemed to be a “large accelerated filer” under the Exchange Act, which would occur if the market value of our Ordinary Shares that are held by non-affiliates exceeds US$700 million as of the last business day of our most recently completed second fiscal quarter and we have been publicly reporting for at least 12 months. Once we cease to be an emerging growth company, we will not be entitled to the exemptions provided in the JOBS Act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condensed consolidated results of operations for the periods presented, both in absolute amount and as a percentage of the total revenues for the periods presented.</w:t>
      </w:r>
    </w:p>
    <w:p>
      <w:pPr>
        <w:pStyle w:val="TextBody"/>
        <w:bidi w:val="0"/>
        <w:spacing w:before="0" w:after="0"/>
        <w:ind w:left="0" w:right="0" w:hanging="0"/>
        <w:jc w:val="both"/>
        <w:rPr>
          <w:caps w:val="false"/>
          <w:smallCaps w:val="false"/>
        </w:rPr>
      </w:pPr>
      <w:r>
        <w:rPr>
          <w:caps w:val="false"/>
          <w:smallCaps w:val="false"/>
        </w:rPr>
        <w:t> </w:t>
      </w:r>
    </w:p>
    <w:tbl>
      <w:tblPr>
        <w:tblW w:w="9443" w:type="dxa"/>
        <w:jc w:val="left"/>
        <w:tblInd w:w="0" w:type="dxa"/>
        <w:tblLayout w:type="fixed"/>
        <w:tblCellMar>
          <w:top w:w="0" w:type="dxa"/>
          <w:left w:w="0" w:type="dxa"/>
          <w:bottom w:w="0" w:type="dxa"/>
          <w:right w:w="0" w:type="dxa"/>
        </w:tblCellMar>
      </w:tblPr>
      <w:tblGrid>
        <w:gridCol w:w="3860"/>
        <w:gridCol w:w="60"/>
        <w:gridCol w:w="125"/>
        <w:gridCol w:w="1010"/>
        <w:gridCol w:w="80"/>
        <w:gridCol w:w="60"/>
        <w:gridCol w:w="115"/>
        <w:gridCol w:w="1059"/>
        <w:gridCol w:w="275"/>
        <w:gridCol w:w="60"/>
        <w:gridCol w:w="125"/>
        <w:gridCol w:w="1010"/>
        <w:gridCol w:w="80"/>
        <w:gridCol w:w="60"/>
        <w:gridCol w:w="115"/>
        <w:gridCol w:w="1059"/>
        <w:gridCol w:w="290"/>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9"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9"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Revneue</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Revneue</w:t>
            </w:r>
          </w:p>
        </w:tc>
        <w:tc>
          <w:tcPr>
            <w:tcW w:w="290"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568,993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624,087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9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(497,610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(433,488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29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71,383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190,599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hanging="144"/>
              <w:jc w:val="left"/>
              <w:rPr/>
            </w:pPr>
            <w:r>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44"/>
              <w:jc w:val="left"/>
              <w:rPr/>
            </w:pPr>
            <w:r>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(259,864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(405,345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29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(4,022,720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(3,521,692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w:t>
            </w:r>
          </w:p>
        </w:tc>
        <w:tc>
          <w:tcPr>
            <w:tcW w:w="29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doubtful accounts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(3,244,489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(23,009,903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(3,687</w:t>
            </w:r>
          </w:p>
        </w:tc>
        <w:tc>
          <w:tcPr>
            <w:tcW w:w="29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deposit due from a third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(2,782,609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9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(10,309,682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(1,812</w:t>
            </w:r>
          </w:p>
        </w:tc>
        <w:tc>
          <w:tcPr>
            <w:tcW w:w="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(26,936,940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(4,316</w:t>
            </w:r>
          </w:p>
        </w:tc>
        <w:tc>
          <w:tcPr>
            <w:tcW w:w="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44"/>
              <w:jc w:val="left"/>
              <w:rPr/>
            </w:pPr>
            <w:r>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(10,238,299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(1,779</w:t>
            </w:r>
          </w:p>
        </w:tc>
        <w:tc>
          <w:tcPr>
            <w:tcW w:w="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(26,746,341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(4,285</w:t>
            </w:r>
          </w:p>
        </w:tc>
        <w:tc>
          <w:tcPr>
            <w:tcW w:w="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44"/>
              <w:jc w:val="left"/>
              <w:rPr/>
            </w:pPr>
            <w:r>
              <w:rPr/>
              <w:t> </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hanging="144"/>
              <w:jc w:val="left"/>
              <w:rPr/>
            </w:pPr>
            <w:r>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9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fair value of 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473,361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29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Subsidy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9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(1,788,270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(477,986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29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(1,782,655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(313</w:t>
            </w:r>
          </w:p>
        </w:tc>
        <w:tc>
          <w:tcPr>
            <w:tcW w:w="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(124,893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hanging="144"/>
              <w:jc w:val="left"/>
              <w:rPr/>
            </w:pPr>
            <w:r>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(12,020,954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(2,112</w:t>
            </w:r>
          </w:p>
        </w:tc>
        <w:tc>
          <w:tcPr>
            <w:tcW w:w="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(26,871,234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(4,306</w:t>
            </w:r>
          </w:p>
        </w:tc>
        <w:tc>
          <w:tcPr>
            <w:tcW w:w="290" w:type="dxa"/>
            <w:tcBorders/>
            <w:shd w:fill="CCEE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9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8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(12,021,649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(2,112</w:t>
            </w:r>
          </w:p>
        </w:tc>
        <w:tc>
          <w:tcPr>
            <w:tcW w:w="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(26,871,234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(4,306</w:t>
            </w:r>
          </w:p>
        </w:tc>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the Company entered into a subscription agreement with certain investors for the issuance and sale of an aggregate of 25,000,000 ordinary shares, par value US$0.0096 per share (the “Ordinary Shares”), for aggregate consideration of approximately US$12.54 million. The shares consist of 24,880,018 Ordinary Shares issued at US$0.492 per share and 119,982 Ordinary Shares issued at US$2.46 per share. The closing of the transaction is expected to occur on a date mutually agreed by the Company and the investors. The shares are being issued in an offshore transaction in reliance on Regulation S under the Securities Act and have not been registered under the Securities Act or applicable state securities laws. Each investor has represented that it is not a “U.S. Person” under Regulation S. Upon closing, the Company is expected to have 26,534,487 Ordinary Shares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the Company entered into a subscription agreement with ANRUITAI INVESTMENT LIMITED, the Company’s original principal shareholder, for the issuance and sale of 1,280,000 Ordinary Shares at US$0.52 per share, for aggregate consideration of US$665,600. The closing is expected to occur on a date mutually agreed by the Company and the investor. The shares are being issued in an offshore transaction in reliance on Regulation S under the Securities Act and have not been registered under the Securities Act or applicable state securities laws. Upon closing, the investor is expected to again become the Company’s principal shareholder, and the Company is expected to have 33,114,487 Ordinary Shares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High West Partners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Company entered into a securities purchase agreement with High West Partners LLC (“HW”), pursuant to which the Company could, in its sole discretion, issue and sell to HW up to US$30 million of Ordinary Shares from time to time. On July 24, 2026, the Company filed an amendment to its prospectus supplement dated July 13, 2026 to amend and restate certain sections relating to the HW transaction and the plan of distribution to conform the pricing terms to the securities purchase agreement. On August 11, 2026, the Company delivered a termination notice to HW, which HW acknowledged on the same date. The termination became effective on August 12, 2026, and the offering was terminated. Prior to termination, the Company had sold or issued an aggregate of 255,328 Ordinary Shares to HW under the securities purchase agreement. The proceeds for sales of 255,328 Ordinary Shares was $172,070.78.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17, 2026, our board of directors adopted the 2026 Share Incentive Plan, under which a maximum of 5,300,000 Ordinary Shares were reserved and made available for issuance pursuant to awards granted under the plan. On June 18, 2026, the Company filed a registration statement on Form S-8 (File No. 333-296887) to register the 5,300,000 Ordinary Shares reserved and available for issuance under the 2026 Share Incentive Plan. The 5,300,000 Ordinary Shares so reserved were issued on June 18,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the Company announced that it had entered into a strategic acquisition memorandum of understanding with Blue Intelligence Cloud Innovation Technology (Beijing) Co., Ltd., pursuant to which the Company proposes to acquire a 40% equity interest in such entity. The Company subsequently furnished a corrected version of the related press release on August 18, 2026 to correct an inadvertent error in the description of the Company; no other changes were made to the press release. On August 20, 2026, the Company announced that it had entered into a strategic cooperation memorandum of understanding with 58.com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Proposed Transfer of Receivables and Related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August 21, 2026, certain subsidiaries of the Company commenced public listings on the Beijing Equity Exchange for the proposed transfer of certain long-aged accounts receivable and one prepaid account, with an aggregate book balance of RMB226.2 million (approximately US$33.4 million) as of April 30, 2026. The assets were appraised at an aggregate value of RMB8.6 million (approximately US$1.3 million), and the initial transfer floors under the four public listings totaled RMB8.6 million. The public listings do not themselves effect any transfer of the assets, and no purchaser has been selected as of the date hereof. Any transfer remains subject to completion of the applicable listing and purchaser-selection procedures, execution of definitive documentation, payment of the purchase price and completion of applicable settlement procedures. There can be no assurance that any proposed transfer will be completed or that the final transfer price will equal or exceed the applicable initial transfer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East Floor 5, Building No. 8, Xishanhui, Shijingshan District Beijing, People’s Republic of China. Our telephone number at this address is +86 010-82088021. Our registered office in the Cayman Islands is located at Ascentium (Cayman) Limited, 4th Floor, Harbour Place, 103 South Church Street, P.O. Box 10240, Grand Cayman KY1-1002, Cayman Islands. Investors should submit any inquiries to the address and telephone number of our principal executive offices set forth above. We maintain a corporate website at http://ir.bsacme.com. The information contained in, or accessible from, our website or any other website does not constitute a part of this prospectus. Our agent for service of process in the United States is Puglisi &amp; Associates, located at 850 Library Avenue, Suite 204, Newark, DE 19711.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sp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investment in our securities involves a high degree of risk. You should carefully consider the risk factors discussed or incorporated by reference in the applicable prospectus supplement, together with all the other information contained in the prospectus supplement or incorporated by reference in this prospectus. You should also consider the risks and uncertainties discussed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our 2025 Annual Report, which is incorporated by reference in this prospectus, and which may be amended, supplemented or superseded from time to time by other reports we file with the SEC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bookmarkStart w:id="6" w:name="sp_005"/>
      <w:bookmarkEnd w:id="6"/>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will be set forth in the applicable prospectus supplement or in a report on Form 6-K subsequently furnished to the SEC and specifically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p_006"/>
      <w:bookmarkEnd w:id="7"/>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480" w:type="dxa"/>
        <w:jc w:val="left"/>
        <w:tblInd w:w="0" w:type="dxa"/>
        <w:shd w:fill="FFFFFF" w:val="clear"/>
        <w:tblLayout w:type="fixed"/>
        <w:tblCellMar>
          <w:top w:w="0" w:type="dxa"/>
          <w:left w:w="0" w:type="dxa"/>
          <w:bottom w:w="0" w:type="dxa"/>
          <w:right w:w="0" w:type="dxa"/>
        </w:tblCellMar>
      </w:tblPr>
      <w:tblGrid>
        <w:gridCol w:w="75"/>
        <w:gridCol w:w="110"/>
        <w:gridCol w:w="7295"/>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72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tangible book value per share of our equity securities before and after the offering;</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increase in such net tangible book value per share attributable to the cash payments made by purchasers in the offering;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220" w:type="dxa"/>
        <w:jc w:val="left"/>
        <w:tblInd w:w="0" w:type="dxa"/>
        <w:shd w:fill="FFFFFF" w:val="clear"/>
        <w:tblLayout w:type="fixed"/>
        <w:tblCellMar>
          <w:top w:w="0" w:type="dxa"/>
          <w:left w:w="0" w:type="dxa"/>
          <w:bottom w:w="0" w:type="dxa"/>
          <w:right w:w="0" w:type="dxa"/>
        </w:tblCellMar>
      </w:tblPr>
      <w:tblGrid>
        <w:gridCol w:w="75"/>
        <w:gridCol w:w="110"/>
        <w:gridCol w:w="9035"/>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9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immediate dilution from the public offering price which will be absorbed by such purchasers.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p_007"/>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securities we offer as set forth in the applicable prospectus supplement(s), information incorporated by reference,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p_008"/>
      <w:bookmarkEnd w:id="9"/>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share capital and provisions of our amended and restated memorandum and articles of association are summaries and do not purport to be complete. References are made to our amended and restated memorandum and articles of association, adopted by a special resolution on July 20, 2020 and effective on February 10, 2021, which are filed as an exhibit to the registration statement of which this prospectus is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laws of the Cayman Islands and our affairs are governed by our Amended and Restated Memorandum and Articles of Association, as amended and restated from time to time, and Companies Act (As Revised) of the Cayman Islands, which we refer to as the Companies Act or the Cayman Companies Act below, and the common law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Amended and Restated Memorandum and Articles of Association and the Companies Act insofar as they relate to the material terms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approved by an ordinary resolution passed on 28 September 2023, our authorized share capital is US$9,600,000 divided into 1,000,000,000 Ordinary Shares, par value $0.0096 per share. All of our issued and outstanding Ordinary Shares are fully paid and non-assessable. Certificates representing the Ordinary Shares are issued in registered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any rights attaching to any class or classes of shares under and in accordance with the articles: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(a)</w:t>
            </w:r>
          </w:p>
        </w:tc>
        <w:tc>
          <w:tcPr>
            <w:tcW w:w="9902" w:type="dxa"/>
            <w:tcBorders/>
            <w:vAlign w:val="center"/>
          </w:tcPr>
          <w:p>
            <w:pPr>
              <w:pStyle w:val="TableContents"/>
              <w:bidi w:val="0"/>
              <w:spacing w:before="0" w:after="283"/>
              <w:jc w:val="both"/>
              <w:rPr/>
            </w:pPr>
            <w:r>
              <w:rPr/>
              <w:t>the directors may declare dividends or distributions out of our funds which are lawfully available for that purpose;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283"/>
              <w:jc w:val="both"/>
              <w:rPr/>
            </w:pPr>
            <w:r>
              <w:rPr/>
              <w:t>the Company’s shareholders may, by ordinary resolution, declare dividends but no such dividend shall exceed the amount recommended by the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Cayman Companies Act regarding the application of a company’s share premium account and with the sanction of an ordinary resolution, dividends may also be declared and paid out of the funds of our Company lawfully available therefor. The directors when paying dividends to shareholders may make such payment either in cash or in specie.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by the rights attached to a share, no dividend shall bear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rights or restrictions as to voting attached to any shares, unless any share carries special voting rights, on a show of hands every shareholder who is present in person and every person representing a shareholder by proxy shall have one vote per Ordinary Share. On a poll, every shareholder who is present in person and every person representing a shareholder by proxy shall have one vote for each share of which he or the person represented by proxy is the holder. In addition, all shareholders holding shares of a particular class are entitled to vote at a meeting of the holders of that class of shares. Votes may be given either personally or by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of Rights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capital is divided into different classes of shares, the rights attaching to any class of share (unless otherwise provided by the terms of issue of the shares of that class) may be varied with the consent in writing of all of the holders of the issued shares of that class or with the sanction of a special resolution passed at a separate meeting of the holders of the shares of that class.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terms on which a class of shares was issued state otherwise, the rights conferred on the shareholder holding shares of any class shall not be deemed to be varied by the creation or issue of further shares ranking pari passu with the existing shares of that class or subsequent to them or the redemption or purchase of any shares of any class by our company. The rights conferred upon the holders of the shares of any class issued shall not be deemed to be varied by the creation or issue of shares with preferred or other rights including, without limitation, the creation of shares with enhanced or weighted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our shareholders may, by ordinary resolution: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our share capital by new shares of the amount fixed by that ordinary resolution and with the attached rights, priorities and privileges set out in that ordinary resolution;</w:t>
            </w:r>
          </w:p>
        </w:tc>
      </w:tr>
    </w:tbl>
    <w:p>
      <w:pPr>
        <w:pStyle w:val="TextBody"/>
        <w:bidi w:val="0"/>
        <w:spacing w:before="0" w:after="283"/>
        <w:jc w:val="left"/>
        <w:rPr/>
      </w:pPr>
      <w:r>
        <w:rPr/>
        <w:t> </w:t>
      </w:r>
    </w:p>
    <w:tbl>
      <w:tblPr>
        <w:tblW w:w="8935" w:type="dxa"/>
        <w:jc w:val="left"/>
        <w:tblInd w:w="0" w:type="dxa"/>
        <w:tblLayout w:type="fixed"/>
        <w:tblCellMar>
          <w:top w:w="0" w:type="dxa"/>
          <w:left w:w="0" w:type="dxa"/>
          <w:bottom w:w="0" w:type="dxa"/>
          <w:right w:w="0" w:type="dxa"/>
        </w:tblCellMar>
      </w:tblPr>
      <w:tblGrid>
        <w:gridCol w:w="75"/>
        <w:gridCol w:w="245"/>
        <w:gridCol w:w="86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our share capital into shares of larger amount than our existing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shares which, at the date of the passing of that ordinary resolution, have not been taken or agreed to be taken by any person and diminish the amount of our share capital by the amount of the shares so cancelled.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to any rights for the time being conferred on the shareholders holding a particular class of shares, our shareholders may, by special resolution, reduce its share capital and any capital redemption reserve in any manner authorized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the articles and any other sanction required by the Cayman Companies Act, pass a special resolution allowing the liquidator to do either or both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divide in specie among the shareholders the whole or any part of our assets and, for that purpose, to value any assets and to determine how the division shall be carried out as between the shareholders or different classes of shareholders;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vest the whole or any part of the assets in trustees for the benefit of shareholders and those liable to contribute to the 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calls on the shareholders in respect of any monies unpaid on their shares including any premium and each shareholder shall (subject to receiving at least 14 calendar days’ notice specifying when and where payment is to be made), pay to us the amount called on his shares.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ten percent per annum. The directors may, at their discretion, waive payment of the interest wholly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first and paramount lien on all shares (whether fully paid up or not) registered in the name of a shareholder (whether solely or jointly with others). The lien is for all monies payable to us by the shareholder or the shareholder’s estate:</w:t>
      </w:r>
    </w:p>
    <w:p>
      <w:pPr>
        <w:pStyle w:val="TextBody"/>
        <w:bidi w:val="0"/>
        <w:spacing w:before="0" w:after="0"/>
        <w:ind w:left="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75"/>
        <w:gridCol w:w="230"/>
        <w:gridCol w:w="79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7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alone or jointly with any other person, whether or not that other person is a shareholder; and</w:t>
            </w:r>
          </w:p>
        </w:tc>
      </w:tr>
    </w:tbl>
    <w:p>
      <w:pPr>
        <w:pStyle w:val="TextBody"/>
        <w:bidi w:val="0"/>
        <w:spacing w:before="0" w:after="283"/>
        <w:jc w:val="left"/>
        <w:rPr/>
      </w:pPr>
      <w:r>
        <w:rPr/>
        <w:t> </w:t>
      </w:r>
    </w:p>
    <w:tbl>
      <w:tblPr>
        <w:tblW w:w="4450" w:type="dxa"/>
        <w:jc w:val="left"/>
        <w:tblInd w:w="0" w:type="dxa"/>
        <w:tblLayout w:type="fixed"/>
        <w:tblCellMar>
          <w:top w:w="0" w:type="dxa"/>
          <w:left w:w="0" w:type="dxa"/>
          <w:bottom w:w="0" w:type="dxa"/>
          <w:right w:w="0" w:type="dxa"/>
        </w:tblCellMar>
      </w:tblPr>
      <w:tblGrid>
        <w:gridCol w:w="75"/>
        <w:gridCol w:w="245"/>
        <w:gridCol w:w="413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or not those monies are presently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directors may declare any share to be wholly or partly exempt from the lien on shares provisions of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in such manner as the directors may determine, any share on which the sum in respect of which the lien exists is presently payable, if due notice that such sum is payable has been given (as prescribed by the articles) and, within 14 calendar days of the date or other longer period as specified in the notice on which the notice is deemed to be given under the articles, such notice has not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Unclaimed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capital call, the directors may give to such shareholder not less than 14 clear days’ notice requiring payment and specifying the amount unpaid including any interest which may have accrued, any expenses which have been incurred by us due to that person’s default and the place where payment is to be made. The notice shall also contain a warning that if the notice is not complied with, the shares in respect of which the call is made will be liable to be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shall cease to be a shareholder in respect of the forfeited shares, but shall, notwithstanding such forfeiture, remain liable to pay to us all monies which at the date of forfeiture were payable by him to us in respect of the shares, together with all expenses and interest from the date of forfeiture or surrender until payment, but his liability shall cease if and when we receive payment in full of the unpaid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that the person making the declaration is our director or secretary and that the particular shares have been forfeited or surrendered on a particular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and shall carry the credit of such account from time to time to a sum equal to the amount or value of the premium paid on the issue of any share or capital contributed or such other amounts required by the Cayman Companies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any rights for the time being conferred on the shareholders holding a particular class of shares, we may by action of our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shares that are to be redeemed or liable to be redeemed, at our option or the shareholder holding those redeemable shares, on the terms and in the manner our directors determine before the issue of those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all or any of our own shares of any class including any redeemable shares on the terms and in the manner which the directors determine at the time of such purchase.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a payment in respect of the redemption or purchase of its own shares in any manner authorized by the Cayman Companies Act, including out of any combination of capital, our profits and the proceeds of a fresh issue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a transfer of Ordinary Shares complies with applicable rules of Nasdaq, a shareholder may transfer Ordinary Shares to another person by completing an instrument of transfer in a common form or in a form prescribed by Nasdaq or in any other form approved by the directors, executed:</w:t>
      </w:r>
    </w:p>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75"/>
        <w:gridCol w:w="230"/>
        <w:gridCol w:w="65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Ordinary Shares are fully paid, by or on behalf of that shareholder; and</w:t>
            </w:r>
          </w:p>
        </w:tc>
      </w:tr>
    </w:tbl>
    <w:p>
      <w:pPr>
        <w:pStyle w:val="TextBody"/>
        <w:bidi w:val="0"/>
        <w:spacing w:before="0" w:after="0"/>
        <w:ind w:left="0" w:right="0" w:hanging="0"/>
        <w:jc w:val="both"/>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245"/>
        <w:gridCol w:w="77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Ordinary Shares are partly paid, by or on behalf of that shareholder and the transferee.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an Ordinary Share until the name of the transferee is entered into the register of members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in question are not listed on or subject to the rules of Nasdaq, our board of directors may, in its absolute discretion, decline to register any transfer of any Ordinary Share that has not been fully paid up or is subject to a company lien. Our board of directors may also decline to register any transfer of such Ordinary Share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0" w:after="283"/>
        <w:jc w:val="left"/>
        <w:rPr/>
      </w:pPr>
      <w:r>
        <w:rPr/>
        <w:t> </w:t>
      </w:r>
    </w:p>
    <w:tbl>
      <w:tblPr>
        <w:tblW w:w="6400" w:type="dxa"/>
        <w:jc w:val="left"/>
        <w:tblInd w:w="0" w:type="dxa"/>
        <w:tblLayout w:type="fixed"/>
        <w:tblCellMar>
          <w:top w:w="0" w:type="dxa"/>
          <w:left w:w="0" w:type="dxa"/>
          <w:bottom w:w="0" w:type="dxa"/>
          <w:right w:w="0" w:type="dxa"/>
        </w:tblCellMar>
      </w:tblPr>
      <w:tblGrid>
        <w:gridCol w:w="75"/>
        <w:gridCol w:w="245"/>
        <w:gridCol w:w="60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Ordinary Shares;</w:t>
            </w:r>
          </w:p>
        </w:tc>
      </w:tr>
    </w:tbl>
    <w:p>
      <w:pPr>
        <w:pStyle w:val="TextBody"/>
        <w:bidi w:val="0"/>
        <w:spacing w:before="0" w:after="283"/>
        <w:jc w:val="left"/>
        <w:rPr/>
      </w:pPr>
      <w:r>
        <w:rPr/>
        <w:t> </w:t>
      </w:r>
    </w:p>
    <w:tbl>
      <w:tblPr>
        <w:tblW w:w="4990" w:type="dxa"/>
        <w:jc w:val="left"/>
        <w:tblInd w:w="0" w:type="dxa"/>
        <w:tblLayout w:type="fixed"/>
        <w:tblCellMar>
          <w:top w:w="0" w:type="dxa"/>
          <w:left w:w="0" w:type="dxa"/>
          <w:bottom w:w="0" w:type="dxa"/>
          <w:right w:w="0" w:type="dxa"/>
        </w:tblCellMar>
      </w:tblPr>
      <w:tblGrid>
        <w:gridCol w:w="75"/>
        <w:gridCol w:w="230"/>
        <w:gridCol w:w="46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Shares are to be transferred does not exceed four;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fee of such maximum sum as Nasdaq may determine to be payable, or such lesser sum as the Directors may from time to time require, is paid to the Company in respect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are required, within two months after the date on which the instrument of transfer was lodged, to send to each of the transferor and the transferee notice of such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prior notice being given in compliance with the applicable rules of Nasdaq, be suspended and our register of members closed at such times and for such periods as our board of directors may from time to time determine. The registration of transfers, however, may not be suspended, and the register of members may not be closed, for more than 30 calendar days in any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Inspection of Books and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the Cayman Companies Act to inspect or obtain copies of our register of members or our corporate records (other than the memorandum and the articles, any special resolutions passed by such companies and the registers of mortgages and charges of such companies). The Registrar of Companies of the Cayman Islands shall make available the list of the names of the current directors of the Company (and where applicable the current alternate directors of the Company) for inspection by any person upon payment of a fee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obligated by the Cayman Companies Act to call annual general meetings; accordingly, we may, but shall not be obliged to, in each year hold a general meeting as an annual general meeting. Any annual general meeting held shall be held at such time and place as may be determined by our board of directors. All general meetings other than annual general meetings shall be called extraordinary general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convene general meetings whenever they think fit. General meetings shall also be convened on the written requisition of two or more of the shareholders entitled to attend and vote at our general meetings who (together) hold not less than one-third (1/3) of the rights to vote at such general meeting in accordance with the notice provisions in the articles, specifying the purpose of the meeting and signed by each of the shareholders making the requisition. If the directors do not convene such meeting for a date not later than 21 clear days’ after the date of receipt of the written requisition, those shareholders who requested the meeting may convene the general meeting themselves within three months after the end of such period of 21 clear days in which case reasonable expenses incurred by them as a result of the directors failing to convene a meeting shall be reimbursed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7 calendar days’ notice of general meetings shall be given to shareholders entitled to attend and vote at such meeting.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with the consent of the shareholders who, individually or collectively, hold at least two-thirds (2/3rd) of the voting rights of all those who have a right to vote in the case of an extraordinary general meeting, and by all the shareholders in the case of an annual general meeting, a general meeting may be convened on shorter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shall consist of the presence (whether in person or represented by proxy) of one or more shareholders holding shares that represent not less than one-third of the outstanding shares carrying the right to vote at such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half an hour from the time appointed for the meeting a quorum is not present, the meeting shall be dissolved.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 meeting at which a quorum is present, adjourn the meeting. When a meeting is adjourned for fourteen calendar days or more, notice of the adjourned meeting shall be given as in the case of an original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shall be decided on a show of hands, unless a poll is (before, or on, the declaration of the result of the show of hands) demanded by the chairman of the meeting or by any or one or more shareholders present who together hold not less than ten percent of the voting rights of all those who are entitled to vote on the resolution. Unless a poll is so demanded, a declaration by the chairman as to the result of a resolution and an entry to that effect in the minutes of the meeting, shall be conclusive evidence of the outcome of a show of hands, without proof of the number or proportion of the votes recorded in favor of, or against, that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poll is duly demanded it shall be taken in such manner as the chairman directs and the result of the poll shall be deemed to be the resolution of the meeting at which the poll was demanded.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whether on a show of hands or on a poll, the chairman of the meeting at which the show of hands takes place or at which the poll is demanded, shall not be entitled to a second or casting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memorandum and articles of association may discourage, delay or prevent a change of control 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Exempted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file an annual return of its shareholders with the Registrar of Companies;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not required to open its register of members for inspection;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hold an annual general meeting;</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issue shares with no par value;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usually given for 20 years in the first instance);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limited duration company;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segregated portfolio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in the United States is Transhare Corporation, with a mailing address of Bayside Center 1, 17755 North US Highway 19, Suite 140, Clearwater, FL 33764.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Nasdaq under the symbol “BAOS.”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ordinary resolution, from time to time, fix the maximum and minimum number of directors to be appointed. Under the Articles, we are required to have a minimum of one director and the maximum number of Directors shall be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remuneration of the directors is determined by the shareholders by ordinary resolution, the directors shall be entitled to such remuneration as the directors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shareholding qualification for directors may be fixed by our shareholders by ordinary resolution and unless and until so fixed no share qualification shall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removed or re-appointed, each director shall be appointed for a term expiring at the next-following annual general meeting, if one is held. At any annual general meeting held, our directors will be elected by an ordinary resolution of our shareholders. At each annual general meeting, each director so elected shall hold office until the expiration of his or her term or until the election of their respective successors in office or removed.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or retire from office by giving us notice in writing. Unless the notice specifies a different date, the director shall be deemed to have resigned on the date that the notice is delivered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articles, the office of a director may be terminated forthwith if:</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230"/>
        <w:gridCol w:w="65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he/she is prohibited by the laws of the Cayman Islands from acting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245"/>
        <w:gridCol w:w="79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he/she is made bankrupt or makes an arrangement or composition with his/her creditors generally;</w:t>
            </w:r>
          </w:p>
        </w:tc>
      </w:tr>
    </w:tbl>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230"/>
        <w:gridCol w:w="35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he/she resigns his/her office by notice to us;</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245"/>
        <w:gridCol w:w="60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He/she only held office as a director for a fixed term and such term expires;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opinion of a registered medical practitioner by whom he/she is being treated he becomes physically or mentally incapable of acting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200"/>
        <w:gridCol w:w="440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He/she is removed from office pursuant to the articles;</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245"/>
        <w:gridCol w:w="94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He/she is made subject to any law relating to mental health or incompetence, whether by court order or otherwise; or</w:t>
            </w:r>
          </w:p>
        </w:tc>
      </w:tr>
    </w:tbl>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245"/>
        <w:gridCol w:w="94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the consent of the other directors, he/she is absent from meetings of directors for three consecutive meetings.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and Duties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our Amended and Restated Memorandum and Articles of Association, our business shall be managed by the directors, who may exercise all our powers. No prior act of the directors shall be invalidated by any subsequent alteration of our memorandum or articles of association. To the extent allowed by the Cayman Companies Act, however, shareholders may by special resolution validate any prior or future act of the directors which would otherwise be in breach of their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 Our board of directors has established an audit committee, compensation committee, and nomination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establish any local or divisional board of directors or agency and delegate to it its powers and authorities (with power to sub-delegate) for managing any of our affairs whether in the Cayman Islands or elsewhere and may appoint any persons to be members of a local or divisional board of directors, or to be managers or agents, and may fix their remuneration.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either generally or in respect of any specific matter, to be our agent with or without authority for that person to delegate all or any of that person’s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whether nominated directly or indirectly by the directors, to be our attorney or our authorized signatory and for such period and subject to such conditions as they may think fit. The powers, authorities and discretions, however, must not exceed those vested in, or exercisable, by the directors under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remove any person so appointed and may revoke or vary the delegation.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as a director, vote in respect of any contract, transaction, arrangement or proposal in which he has an interest which (together with any interest of any person connected with him) is a material interest (otherwise than by virtue of his interests, direct or indirect, in shares or debentures or other securities of, or otherwise in or through, us) and if he shall do so his vote shall not be counted, nor in relation thereto shall he be counted in the quorum present at the meeting, but (in the absence of some other material interest than is mentioned below) none of these prohibitions shall apply to:</w:t>
      </w:r>
    </w:p>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75"/>
        <w:gridCol w:w="230"/>
        <w:gridCol w:w="51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giving of any security, guarantee or indemnity in respect of:</w:t>
            </w:r>
          </w:p>
        </w:tc>
      </w:tr>
    </w:tbl>
    <w:p>
      <w:pPr>
        <w:pStyle w:val="TextBody"/>
        <w:bidi w:val="0"/>
        <w:spacing w:before="0" w:after="0"/>
        <w:ind w:left="0" w:right="0" w:hanging="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60"/>
        <w:gridCol w:w="200"/>
        <w:gridCol w:w="888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money lent or obligations incurred by him or by any other person for our benefit or any of our subsidiaries;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229"/>
        <w:gridCol w:w="9841"/>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2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8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debt or obligation of ours or any of our subsidiaries for which the director himself has assumed responsibility in whole or in part and whether alone or jointly with others under a guarantee or indemnity or by the giving of security;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we or any of our subsidiaries is offering securities in which offer the director is or may be entitled to participate as a holder of securities or in the underwriting or sub-underwriting of which the director is to or may participate;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35" w:type="dxa"/>
            <w:tcBorders/>
            <w:vAlign w:val="center"/>
          </w:tcPr>
          <w:p>
            <w:pPr>
              <w:pStyle w:val="TableContents"/>
              <w:bidi w:val="0"/>
              <w:spacing w:before="0" w:after="283"/>
              <w:jc w:val="both"/>
              <w:rPr/>
            </w:pPr>
            <w:r>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percent or more of any class of the equity share capital of such body corporate (or of any third body corporate through which his interest is derived) or of the voting rights available to shareholders of the relevant body corporate;  </w:t>
            </w:r>
          </w:p>
        </w:tc>
      </w:tr>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both"/>
              <w:rPr/>
            </w:pPr>
            <w:r>
              <w:rPr/>
              <w:t> </w:t>
            </w:r>
          </w:p>
        </w:tc>
        <w:tc>
          <w:tcPr>
            <w:tcW w:w="9935" w:type="dxa"/>
            <w:tcBorders/>
            <w:vAlign w:val="center"/>
          </w:tcPr>
          <w:p>
            <w:pPr>
              <w:pStyle w:val="TableContents"/>
              <w:bidi w:val="0"/>
              <w:spacing w:before="0" w:after="283"/>
              <w:ind w:left="0" w:right="0" w:firstLine="48"/>
              <w:jc w:val="left"/>
              <w:rPr/>
            </w:pPr>
            <w:r>
              <w:rPr/>
              <w:t> </w:t>
            </w:r>
          </w:p>
        </w:tc>
      </w:tr>
      <w:tr>
        <w:trPr/>
        <w:tc>
          <w:tcPr>
            <w:tcW w:w="75"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 or thing done or to be done in respect of any arrangement for the benefit of the employees of us or any of our subsidiaries under which he is not accorded as a director any privilege or advantage not generally accorded to the employees to whom such arrangement relates;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matter connected with the purchase or maintenance for any director of insurance against any liability or (to the extent permitted by the Cayman Companies Act) indemnities in favor of directors, the funding of expenditure by one or more directors in defending proceedings against him or them or the doing of anything to enable such director or directors to avoid incurring such expenditure.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as a director, vote (and be counted in the quorum) in respect of any contract, transaction, arrangement or proposal in which he has an interest which is not a material interest or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of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capitalize: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part of our profits not required for paying any preferential dividend (whether or not those profits are available for distribution); or</w:t>
            </w:r>
          </w:p>
        </w:tc>
      </w:tr>
    </w:tbl>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245"/>
        <w:gridCol w:w="79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sum standing to the credit of our share premium account or capital redemption reserve,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capitalized must be appropriated to the shareholders who would have been entitled to it had it been distributed by way of dividend and in the same proportions.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we must keep a register of members and there should be entered therein: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and addresses of our shareholders, together with a statement of the shares held by each shareholder, and such statement shall confirm (i) the amount paid or agreed to be considered as paid, on the shares of each shareholder; (ii) the number and category of shares held by each member, and (iii) whether each relevant category of shares held by a member carries voting rights under the articles of association of the company, and if so, whether such voting rights are conditional;</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name of any person was entered on the register as a shareholder;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any person ceased to be a shareholder.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Cayman Companies Act to have legal title to the shares as set against its name in the register of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is derived, to a large extent, from the older Companies Acts of England and Wales but does not follow recent United Kingdom statutory enactments, and accordingly there are significant differences between the Cayman Companies Act and the current Companies Act of England. In addition, the Cayman Companies Act differs from laws applicable to United States corporations and their shareholders. Set forth below is a summary of certain significant differences between the provisions of the Cayman Companies Act applicable to us and the comparable laws applicable to companies incorporated in the State of Delaware in the United States.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3"/>
        <w:gridCol w:w="60"/>
        <w:gridCol w:w="2728"/>
        <w:gridCol w:w="60"/>
        <w:gridCol w:w="4864"/>
      </w:tblGrid>
      <w:tr>
        <w:trPr/>
        <w:tc>
          <w:tcPr>
            <w:tcW w:w="2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8"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4864"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Cayman Islands</w:t>
            </w:r>
          </w:p>
        </w:tc>
      </w:tr>
      <w:tr>
        <w:trPr/>
        <w:tc>
          <w:tcPr>
            <w:tcW w:w="249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 of Organizational Documents</w:t>
            </w:r>
          </w:p>
        </w:tc>
        <w:tc>
          <w:tcPr>
            <w:tcW w:w="60" w:type="dxa"/>
            <w:tcBorders/>
            <w:vAlign w:val="center"/>
          </w:tcPr>
          <w:p>
            <w:pPr>
              <w:pStyle w:val="TableContents"/>
              <w:bidi w:val="0"/>
              <w:spacing w:before="0" w:after="283"/>
              <w:jc w:val="left"/>
              <w:rPr/>
            </w:pPr>
            <w:r>
              <w:rPr/>
              <w:t> </w:t>
            </w:r>
          </w:p>
        </w:tc>
        <w:tc>
          <w:tcPr>
            <w:tcW w:w="27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Certificate of Incorporation and Bylaws</w:t>
            </w:r>
          </w:p>
        </w:tc>
        <w:tc>
          <w:tcPr>
            <w:tcW w:w="60" w:type="dxa"/>
            <w:tcBorders/>
            <w:vAlign w:val="center"/>
          </w:tcPr>
          <w:p>
            <w:pPr>
              <w:pStyle w:val="TableContents"/>
              <w:bidi w:val="0"/>
              <w:spacing w:before="0" w:after="283"/>
              <w:jc w:val="left"/>
              <w:rPr/>
            </w:pPr>
            <w:r>
              <w:rPr/>
              <w:t> </w:t>
            </w:r>
          </w:p>
        </w:tc>
        <w:tc>
          <w:tcPr>
            <w:tcW w:w="48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Certificate of Incorporation and Memorandum and Articles of Association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0"/>
        <w:gridCol w:w="60"/>
        <w:gridCol w:w="3742"/>
        <w:gridCol w:w="60"/>
        <w:gridCol w:w="5513"/>
      </w:tblGrid>
      <w:tr>
        <w:trPr/>
        <w:tc>
          <w:tcPr>
            <w:tcW w:w="83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Duties of Directors</w:t>
            </w:r>
          </w:p>
        </w:tc>
        <w:tc>
          <w:tcPr>
            <w:tcW w:w="60" w:type="dxa"/>
            <w:tcBorders/>
            <w:vAlign w:val="center"/>
          </w:tcPr>
          <w:p>
            <w:pPr>
              <w:pStyle w:val="TableContents"/>
              <w:bidi w:val="0"/>
              <w:spacing w:before="0" w:after="283"/>
              <w:jc w:val="left"/>
              <w:rPr/>
            </w:pPr>
            <w:r>
              <w:rPr/>
              <w:t> </w:t>
            </w:r>
          </w:p>
        </w:tc>
        <w:tc>
          <w:tcPr>
            <w:tcW w:w="37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its shareholders. The duty of care requires that directors act in an informed and deliberative manner and inform themselves, prior to making a business decision, of all material information reasonably available to them. The duty of care also requires that directors exercise care in overseeing and investigating the conduct of the corporation’s employees. The duty of loyalty may be summarized as the duty to act in good faith, not out of self-interest, and in a manner which the director reasonably believes to be in the best interests of the shareholders.</w:t>
            </w:r>
          </w:p>
        </w:tc>
        <w:tc>
          <w:tcPr>
            <w:tcW w:w="60" w:type="dxa"/>
            <w:tcBorders/>
            <w:vAlign w:val="center"/>
          </w:tcPr>
          <w:p>
            <w:pPr>
              <w:pStyle w:val="TableContents"/>
              <w:bidi w:val="0"/>
              <w:spacing w:before="0" w:after="283"/>
              <w:jc w:val="left"/>
              <w:rPr/>
            </w:pPr>
            <w:r>
              <w:rPr/>
              <w:t> </w:t>
            </w:r>
          </w:p>
        </w:tc>
        <w:tc>
          <w:tcPr>
            <w:tcW w:w="55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matter of Cayman Islands law, a director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if a duty owed by any of our directors is breached.’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7"/>
        <w:gridCol w:w="60"/>
        <w:gridCol w:w="5094"/>
        <w:gridCol w:w="60"/>
        <w:gridCol w:w="3784"/>
      </w:tblGrid>
      <w:tr>
        <w:trPr/>
        <w:tc>
          <w:tcPr>
            <w:tcW w:w="120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Limitations on Personal Liability of Directors</w:t>
            </w:r>
          </w:p>
        </w:tc>
        <w:tc>
          <w:tcPr>
            <w:tcW w:w="60" w:type="dxa"/>
            <w:tcBorders/>
            <w:vAlign w:val="center"/>
          </w:tcPr>
          <w:p>
            <w:pPr>
              <w:pStyle w:val="TableContents"/>
              <w:bidi w:val="0"/>
              <w:spacing w:before="0" w:after="283"/>
              <w:jc w:val="left"/>
              <w:rPr/>
            </w:pPr>
            <w:r>
              <w:rPr/>
              <w:t> </w:t>
            </w:r>
          </w:p>
        </w:tc>
        <w:tc>
          <w:tcPr>
            <w:tcW w:w="50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limitations described below, a certificate of incorporation may provide for the elimination or limitation of the personal liability of a director to the corporation or its shareholders for monetary damages for a breach of fiduciary duty as a director. Such provision cannot limit liability for breach of loyalty, bad faith, intentional misconduct, unlawful payment of dividends or unlawful share purchase or redemption. In addition, the certificate of incorporation cannot limit liability for any act or omission occurring prior to the date when such provision becomes effective.</w:t>
            </w:r>
          </w:p>
        </w:tc>
        <w:tc>
          <w:tcPr>
            <w:tcW w:w="60" w:type="dxa"/>
            <w:tcBorders/>
            <w:vAlign w:val="center"/>
          </w:tcPr>
          <w:p>
            <w:pPr>
              <w:pStyle w:val="TableContents"/>
              <w:bidi w:val="0"/>
              <w:spacing w:before="0" w:after="283"/>
              <w:jc w:val="left"/>
              <w:rPr/>
            </w:pPr>
            <w:r>
              <w:rPr/>
              <w:t> </w:t>
            </w:r>
          </w:p>
        </w:tc>
        <w:tc>
          <w:tcPr>
            <w:tcW w:w="37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1"/>
        <w:gridCol w:w="60"/>
        <w:gridCol w:w="2613"/>
        <w:gridCol w:w="60"/>
        <w:gridCol w:w="5961"/>
      </w:tblGrid>
      <w:tr>
        <w:trPr/>
        <w:tc>
          <w:tcPr>
            <w:tcW w:w="151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Indemnification of Directors, Officers, Agents, and Others</w:t>
            </w:r>
          </w:p>
        </w:tc>
        <w:tc>
          <w:tcPr>
            <w:tcW w:w="60" w:type="dxa"/>
            <w:tcBorders/>
            <w:vAlign w:val="center"/>
          </w:tcPr>
          <w:p>
            <w:pPr>
              <w:pStyle w:val="TableContents"/>
              <w:bidi w:val="0"/>
              <w:spacing w:before="0" w:after="283"/>
              <w:jc w:val="left"/>
              <w:rPr/>
            </w:pPr>
            <w:r>
              <w:rPr/>
              <w:t> </w:t>
            </w:r>
          </w:p>
        </w:tc>
        <w:tc>
          <w:tcPr>
            <w:tcW w:w="26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has the power to indemnify any director, officer, employee, or agent of corporation who was, is, or is threatened to be made a party who acted in good faith and in a manner he believed to be in the best interests of the corporation, and if with respect to a criminal proceeding, had no reasonable cause to believe his conduct would be unlawful, against amounts actually and reasonably incurred.</w:t>
            </w:r>
          </w:p>
        </w:tc>
        <w:tc>
          <w:tcPr>
            <w:tcW w:w="60" w:type="dxa"/>
            <w:tcBorders/>
            <w:vAlign w:val="center"/>
          </w:tcPr>
          <w:p>
            <w:pPr>
              <w:pStyle w:val="TableContents"/>
              <w:bidi w:val="0"/>
              <w:spacing w:before="0" w:after="283"/>
              <w:jc w:val="left"/>
              <w:rPr/>
            </w:pPr>
            <w:r>
              <w:rPr/>
              <w:t> </w:t>
            </w:r>
          </w:p>
        </w:tc>
        <w:tc>
          <w:tcPr>
            <w:tcW w:w="596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or dishonesty.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association provide to the extent permitted by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9"/>
        <w:gridCol w:w="60"/>
        <w:gridCol w:w="7278"/>
        <w:gridCol w:w="60"/>
        <w:gridCol w:w="1888"/>
      </w:tblGrid>
      <w:tr>
        <w:trPr/>
        <w:tc>
          <w:tcPr>
            <w:tcW w:w="91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Interested Directors</w:t>
            </w:r>
          </w:p>
        </w:tc>
        <w:tc>
          <w:tcPr>
            <w:tcW w:w="60" w:type="dxa"/>
            <w:tcBorders/>
            <w:vAlign w:val="center"/>
          </w:tcPr>
          <w:p>
            <w:pPr>
              <w:pStyle w:val="TableContents"/>
              <w:bidi w:val="0"/>
              <w:spacing w:before="0" w:after="283"/>
              <w:jc w:val="left"/>
              <w:rPr/>
            </w:pPr>
            <w:r>
              <w:rPr/>
              <w:t> </w:t>
            </w:r>
          </w:p>
        </w:tc>
        <w:tc>
          <w:tcPr>
            <w:tcW w:w="72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a transaction in which a director who has an interest in such transaction would not be voidable if (i) the material facts as to such interested director’s relationship or interests are disclosed or are known to the board of directors and the board in good faith authorizes the transaction by the affirmative vote of a majority of the disinterested directors, even though the disinterested directors are less than a quorum, (ii) such material facts are disclosed or are known to the shareholders entitled to vote on such transaction and the transaction is specifically approved in good faith by vote of the shareholders, or (iii) the transaction is fair as to the corporation as of the time it is authorized, approved or ratified. Under Delaware law, a director could be held liable for any transaction in which such director derived an improper personal benefit.</w:t>
            </w:r>
          </w:p>
        </w:tc>
        <w:tc>
          <w:tcPr>
            <w:tcW w:w="60" w:type="dxa"/>
            <w:tcBorders/>
            <w:vAlign w:val="center"/>
          </w:tcPr>
          <w:p>
            <w:pPr>
              <w:pStyle w:val="TableContents"/>
              <w:bidi w:val="0"/>
              <w:spacing w:before="0" w:after="283"/>
              <w:jc w:val="left"/>
              <w:rPr/>
            </w:pPr>
            <w:r>
              <w:rPr/>
              <w:t> </w:t>
            </w:r>
          </w:p>
        </w:tc>
        <w:tc>
          <w:tcPr>
            <w:tcW w:w="1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Interested director transactions are governed by the terms of a company’s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8"/>
        <w:gridCol w:w="60"/>
        <w:gridCol w:w="2716"/>
        <w:gridCol w:w="60"/>
        <w:gridCol w:w="6151"/>
      </w:tblGrid>
      <w:tr>
        <w:trPr/>
        <w:tc>
          <w:tcPr>
            <w:tcW w:w="121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Voting Requirements</w:t>
            </w:r>
          </w:p>
        </w:tc>
        <w:tc>
          <w:tcPr>
            <w:tcW w:w="60" w:type="dxa"/>
            <w:tcBorders/>
            <w:vAlign w:val="center"/>
          </w:tcPr>
          <w:p>
            <w:pPr>
              <w:pStyle w:val="TableContents"/>
              <w:bidi w:val="0"/>
              <w:spacing w:before="0" w:after="283"/>
              <w:jc w:val="left"/>
              <w:rPr/>
            </w:pPr>
            <w:r>
              <w:rPr/>
              <w:t> </w:t>
            </w:r>
          </w:p>
        </w:tc>
        <w:tc>
          <w:tcPr>
            <w:tcW w:w="271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include a provision requiring supermajority approval by the directors or shareholders for any corporate 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Delaware law, certain business combinations involving interested shareholders require approval by a supermajority of the non-interested shareholders.</w:t>
            </w:r>
          </w:p>
        </w:tc>
        <w:tc>
          <w:tcPr>
            <w:tcW w:w="60" w:type="dxa"/>
            <w:tcBorders/>
            <w:vAlign w:val="center"/>
          </w:tcPr>
          <w:p>
            <w:pPr>
              <w:pStyle w:val="TableContents"/>
              <w:bidi w:val="0"/>
              <w:spacing w:before="0" w:after="283"/>
              <w:jc w:val="left"/>
              <w:rPr/>
            </w:pPr>
            <w:r>
              <w:rPr/>
              <w:t> </w:t>
            </w:r>
          </w:p>
        </w:tc>
        <w:tc>
          <w:tcPr>
            <w:tcW w:w="615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protection of shareholders, certain matters must be approved by special resolution of the shareholders as a matter of Cayman Islands law, including alteration of the memorandum or articles of association, appointment of inspectors to examine company affairs, reduction of share capital (subject, in relevant circumstances, to court approval), change of name, authorization of a plan of merger or transfer by way of continuation to another jurisdiction or consolidation or voluntary winding up of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Companies Act requires that a special resolution be passed by a majority of at least two-thirds or such higher percentage as set forth in the memorandum and articles of association, of shareholders being entitled to vote and do vote in person or by proxy at a general meeting, or by unanimous written consent of shareholders entitled to vote at a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9"/>
        <w:gridCol w:w="60"/>
        <w:gridCol w:w="5446"/>
        <w:gridCol w:w="60"/>
        <w:gridCol w:w="3080"/>
      </w:tblGrid>
      <w:tr>
        <w:trPr/>
        <w:tc>
          <w:tcPr>
            <w:tcW w:w="155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Voting for Directors</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unless otherwise specified in the certificate of incorporation or bylaws of the corporation, directors shall be elected by a plurality of the votes of the shares present in person or represented by proxy at the meeting and entitled to vote on the election of directors.</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Companies Act defines “special resolutions” only. A company’s memorandum and articles of association can therefore tailor the definition of “ordinary resolutions” as a whole, or with respect to specific provisions.</w:t>
            </w:r>
          </w:p>
        </w:tc>
      </w:tr>
      <w:tr>
        <w:trPr/>
        <w:tc>
          <w:tcPr>
            <w:tcW w:w="1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pPr>
            <w:r>
              <w:rPr/>
              <w:t> </w:t>
            </w:r>
          </w:p>
        </w:tc>
      </w:tr>
      <w:tr>
        <w:trPr/>
        <w:tc>
          <w:tcPr>
            <w:tcW w:w="155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Cumulative Voting</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cumulative voting for the election of directors unless so provided in the certificate of incorporation.</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cumulative voting for the election of directors unless so provided in the memorandum and articles of association.</w:t>
            </w:r>
          </w:p>
        </w:tc>
      </w:tr>
      <w:tr>
        <w:trPr/>
        <w:tc>
          <w:tcPr>
            <w:tcW w:w="1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pPr>
            <w:r>
              <w:rPr/>
              <w:t> </w:t>
            </w:r>
          </w:p>
        </w:tc>
      </w:tr>
      <w:tr>
        <w:trPr/>
        <w:tc>
          <w:tcPr>
            <w:tcW w:w="155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Directors’ Powers Regarding Bylaws</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certificate of incorporation may grant the directors the power to adopt, amend or repeal bylaws.</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memorandum and articles of association may only be amended by a special resolution of the shareholders.</w:t>
            </w:r>
          </w:p>
        </w:tc>
      </w:tr>
      <w:tr>
        <w:trPr/>
        <w:tc>
          <w:tcPr>
            <w:tcW w:w="1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pPr>
            <w:r>
              <w:rPr/>
              <w:t> </w:t>
            </w:r>
          </w:p>
        </w:tc>
      </w:tr>
      <w:tr>
        <w:trPr/>
        <w:tc>
          <w:tcPr>
            <w:tcW w:w="1559"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Nomination and Removal of Directors and Filling Vacancies on Board</w:t>
            </w:r>
          </w:p>
        </w:tc>
        <w:tc>
          <w:tcPr>
            <w:tcW w:w="60"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Shareholders may generally nominate directors if they comply with advance notice provisions and other procedural requirements in company bylaws. Holders of a majority of the shares may remove a director with or without cause, except in certain cases involving a classified board or if the company uses cumulative voting. Unless otherwise provided for in the certificate of incorporation, directorship vacancies are filled by a majority of the directors elected or then in office.</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Nomination and removal of directors and filling of board vacancies are governed by the terms of the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36"/>
        <w:gridCol w:w="60"/>
        <w:gridCol w:w="3050"/>
        <w:gridCol w:w="60"/>
        <w:gridCol w:w="5799"/>
      </w:tblGrid>
      <w:tr>
        <w:trPr/>
        <w:tc>
          <w:tcPr>
            <w:tcW w:w="123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Mergers and Similar Arrangements</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with certain exceptions, a merger, consolidation, exchange or sale of all or substantially all the assets of a corporation must be approved by the board of directors and a majority of the outstanding shares entitled to vote thereon. Under Delaware law, a shareholder of a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also provides that a parent corporation, by resolution of its board of directors, may merge with any subsidiary, of which it owns at least 90% of each class of capital stock without a vote by shareholders of such subsidiary. Upon any such merger, dissenting shareholders of the subsidiary would have appraisal rights.</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ind w:left="5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Islands parent company and its Cayman Islands subsidiary or subsidiaries does not require authorization by a resolution of shareholders. For this purpose a subsidiary is a company of which at least 90% of the issued shares entitled to vote are owned by the parent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of a constituent company is required unless this requirement is waived by a court in the Cayman Islands.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Except in certain limited circumstances, a dissenting shareholder of a Cayman Islands constituent company is entitled to payment of the fair value of his or her shares upon dissenting from a merger or consolidation.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there are statutory provisions that facilitate the reconstruction and amalgamation of companies,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 (a) the statutory provisions as to the required majority vote have been met; (b) the shareholders have been fairly represented at the meeting in question and the statutory majority are acting bona fide without coercion of the minority to promote interests adverse to those of the class; (c) the arrangement is such that may be reasonably approved by an intelligent and honest man of that class acting in respect of his interest; and (d) the arrangement is not one that would more properly be sanctioned under some other provision of the Cayman Companies Act.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takeover offer is made and accepted by holders of 90% of the shares affected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or if a takeover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2"/>
        <w:gridCol w:w="60"/>
        <w:gridCol w:w="2829"/>
        <w:gridCol w:w="60"/>
        <w:gridCol w:w="6174"/>
      </w:tblGrid>
      <w:tr>
        <w:trPr/>
        <w:tc>
          <w:tcPr>
            <w:tcW w:w="1082"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Shareholder Suits</w:t>
            </w:r>
          </w:p>
        </w:tc>
        <w:tc>
          <w:tcPr>
            <w:tcW w:w="60" w:type="dxa"/>
            <w:tcBorders/>
            <w:vAlign w:val="center"/>
          </w:tcPr>
          <w:p>
            <w:pPr>
              <w:pStyle w:val="TableContents"/>
              <w:bidi w:val="0"/>
              <w:spacing w:before="0" w:after="283"/>
              <w:jc w:val="left"/>
              <w:rPr/>
            </w:pPr>
            <w:r>
              <w:rPr/>
              <w:t> </w:t>
            </w:r>
          </w:p>
        </w:tc>
        <w:tc>
          <w:tcPr>
            <w:tcW w:w="28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actions and derivative actions generally are available to shareholders under Delaware law for, among other things, breach of fiduciary duty, corporate waste and actions not taken in accordance with applicable law. In such actions, the court generally has discretion to permit the winning party to recover attorneys’ fees incurred in connection with such action.</w:t>
            </w:r>
          </w:p>
        </w:tc>
        <w:tc>
          <w:tcPr>
            <w:tcW w:w="60" w:type="dxa"/>
            <w:tcBorders/>
            <w:vAlign w:val="center"/>
          </w:tcPr>
          <w:p>
            <w:pPr>
              <w:pStyle w:val="TableContents"/>
              <w:bidi w:val="0"/>
              <w:spacing w:before="0" w:after="283"/>
              <w:jc w:val="left"/>
              <w:rPr/>
            </w:pPr>
            <w:r>
              <w:rPr/>
              <w:t> </w:t>
            </w:r>
          </w:p>
        </w:tc>
        <w:tc>
          <w:tcPr>
            <w:tcW w:w="61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 (a) an act which is illegal or ultra vires with respect to the company and is therefore incapable of ratification by the shareholders; (b) an act which, although not ultra vires, requires authorization by a qualified (or special) majority (that is, more than a simple majority) which has not been obtained; and (c) an act which constitutes a “fraud on the minority” where the wrongdoers are themselves in control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1"/>
        <w:gridCol w:w="60"/>
        <w:gridCol w:w="2371"/>
        <w:gridCol w:w="60"/>
        <w:gridCol w:w="6583"/>
      </w:tblGrid>
      <w:tr>
        <w:trPr/>
        <w:tc>
          <w:tcPr>
            <w:tcW w:w="113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Inspection of Corporate Records</w:t>
            </w:r>
          </w:p>
        </w:tc>
        <w:tc>
          <w:tcPr>
            <w:tcW w:w="60" w:type="dxa"/>
            <w:tcBorders/>
            <w:vAlign w:val="center"/>
          </w:tcPr>
          <w:p>
            <w:pPr>
              <w:pStyle w:val="TableContents"/>
              <w:bidi w:val="0"/>
              <w:spacing w:before="0" w:after="283"/>
              <w:jc w:val="left"/>
              <w:rPr/>
            </w:pPr>
            <w:r>
              <w:rPr/>
              <w:t> </w:t>
            </w:r>
          </w:p>
        </w:tc>
        <w:tc>
          <w:tcPr>
            <w:tcW w:w="23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shareholders of a Delaware corporation have the right during normal business hours to inspect for any proper purpose, and to obtain copies of list(s) of shareholders and other books and records of the corporation and its subsidiaries, if any, to the extent the books and records of such subsidiaries are available to the corporation.</w:t>
            </w:r>
          </w:p>
        </w:tc>
        <w:tc>
          <w:tcPr>
            <w:tcW w:w="60" w:type="dxa"/>
            <w:tcBorders/>
            <w:vAlign w:val="center"/>
          </w:tcPr>
          <w:p>
            <w:pPr>
              <w:pStyle w:val="TableContents"/>
              <w:bidi w:val="0"/>
              <w:spacing w:before="0" w:after="283"/>
              <w:jc w:val="left"/>
              <w:rPr/>
            </w:pPr>
            <w:r>
              <w:rPr/>
              <w:t> </w:t>
            </w:r>
          </w:p>
        </w:tc>
        <w:tc>
          <w:tcPr>
            <w:tcW w:w="65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Shareholders of a Cayman Islands exempted company have no general right under Cayman Islands law to inspect or obtain copies of a list of shareholders or other corporate records (other than the memorandum and articles of association and any special resolutions passed by such companies, and the registers of mortgages and charges of such companies and a list of current directors of such companies) of the company. However, these rights may be provided in the company’s memorandum and articles of association.</w:t>
            </w:r>
          </w:p>
        </w:tc>
      </w:tr>
      <w:tr>
        <w:trPr/>
        <w:tc>
          <w:tcPr>
            <w:tcW w:w="11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583" w:type="dxa"/>
            <w:tcBorders/>
            <w:vAlign w:val="center"/>
          </w:tcPr>
          <w:p>
            <w:pPr>
              <w:pStyle w:val="TableContents"/>
              <w:bidi w:val="0"/>
              <w:spacing w:before="0" w:after="283"/>
              <w:jc w:val="both"/>
              <w:rPr/>
            </w:pPr>
            <w:r>
              <w:rPr/>
              <w:t> </w:t>
            </w:r>
          </w:p>
        </w:tc>
      </w:tr>
      <w:tr>
        <w:trPr/>
        <w:tc>
          <w:tcPr>
            <w:tcW w:w="113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Shareholder Proposals</w:t>
            </w:r>
          </w:p>
        </w:tc>
        <w:tc>
          <w:tcPr>
            <w:tcW w:w="60" w:type="dxa"/>
            <w:tcBorders/>
            <w:vAlign w:val="center"/>
          </w:tcPr>
          <w:p>
            <w:pPr>
              <w:pStyle w:val="TableContents"/>
              <w:bidi w:val="0"/>
              <w:spacing w:before="0" w:after="283"/>
              <w:jc w:val="left"/>
              <w:rPr/>
            </w:pPr>
            <w:r>
              <w:rPr/>
              <w:t> </w:t>
            </w:r>
          </w:p>
        </w:tc>
        <w:tc>
          <w:tcPr>
            <w:tcW w:w="23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provided in the corporation’s certificate of incorporation or bylaws, Delaware law does not include a provision restricting the manner in which shareholders may bring business before a meeting.</w:t>
            </w:r>
          </w:p>
        </w:tc>
        <w:tc>
          <w:tcPr>
            <w:tcW w:w="60" w:type="dxa"/>
            <w:tcBorders/>
            <w:vAlign w:val="center"/>
          </w:tcPr>
          <w:p>
            <w:pPr>
              <w:pStyle w:val="TableContents"/>
              <w:bidi w:val="0"/>
              <w:spacing w:before="0" w:after="283"/>
              <w:jc w:val="left"/>
              <w:rPr/>
            </w:pPr>
            <w:r>
              <w:rPr/>
              <w:t> </w:t>
            </w:r>
          </w:p>
        </w:tc>
        <w:tc>
          <w:tcPr>
            <w:tcW w:w="65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Companies Act provides shareholders with only limited rights to requisition a general meeting, and does not provide shareholders with any right to put any proposal before a general meeting. However, these rights may be provided in a company’s articles of association. Our articles provide that general meetings shall be convened on the written requisition of one or more of the shareholders entitled to attend and vote at our general meetings who (together) hold not less than 10 percent of the rights to vote at such general meeting in accordance with the notice provisions in the articles, specifying the purpose of the meeting and signed by each of the shareholders making the requisition. If the directors do not convene such meeting for a date not later than twenty-one clear days’ after the date of receipt of the written requisition, those shareholders who requested the meeting may convene the general meeting themselves within three months after the end of such period of twenty-one clear days in which case reasonable expenses incurred by them as a result of the directors failing to convene a meeting shall be reimbursed by us. Our articles provide no other right to put any proposals before annual general meetings or extraordinary general meetings. As a Cayman Islands exempted company, we are not obligated by law to call shareholders’ annual general meetings. However, our corporate governance guidelines require us to call such meetings every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8"/>
        <w:gridCol w:w="60"/>
        <w:gridCol w:w="4813"/>
        <w:gridCol w:w="60"/>
        <w:gridCol w:w="3734"/>
      </w:tblGrid>
      <w:tr>
        <w:trPr/>
        <w:tc>
          <w:tcPr>
            <w:tcW w:w="153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Approval of Corporate Matters by Written Consent</w:t>
            </w:r>
          </w:p>
        </w:tc>
        <w:tc>
          <w:tcPr>
            <w:tcW w:w="60"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Delaware law permits shareholders to take action by written consent signed by the holders of outstanding shares having not less than the minimum number of votes that would be necessary to authorize or take such action at a meeting of shareholders.</w:t>
            </w:r>
          </w:p>
        </w:tc>
        <w:tc>
          <w:tcPr>
            <w:tcW w:w="60" w:type="dxa"/>
            <w:tcBorders/>
            <w:vAlign w:val="center"/>
          </w:tcPr>
          <w:p>
            <w:pPr>
              <w:pStyle w:val="TableContents"/>
              <w:bidi w:val="0"/>
              <w:spacing w:before="0" w:after="283"/>
              <w:jc w:val="left"/>
              <w:rPr/>
            </w:pPr>
            <w:r>
              <w:rPr/>
              <w:t> </w:t>
            </w:r>
          </w:p>
        </w:tc>
        <w:tc>
          <w:tcPr>
            <w:tcW w:w="37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Companies Act allows a special resolution to be passed in writing if signed by all the voting shareholders (if authorized by the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6"/>
        <w:gridCol w:w="60"/>
        <w:gridCol w:w="4035"/>
        <w:gridCol w:w="60"/>
        <w:gridCol w:w="4404"/>
      </w:tblGrid>
      <w:tr>
        <w:trPr/>
        <w:tc>
          <w:tcPr>
            <w:tcW w:w="164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Calling of Special Shareholders Meetings</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Delaware law permits the board of directors or any person who is authorized under a corporation’s certificate of incorporation or bylaws to call a special meeting of shareholders.</w:t>
            </w:r>
          </w:p>
        </w:tc>
        <w:tc>
          <w:tcPr>
            <w:tcW w:w="60" w:type="dxa"/>
            <w:tcBorders/>
            <w:vAlign w:val="center"/>
          </w:tcPr>
          <w:p>
            <w:pPr>
              <w:pStyle w:val="TableContents"/>
              <w:bidi w:val="0"/>
              <w:spacing w:before="0" w:after="283"/>
              <w:jc w:val="left"/>
              <w:rPr/>
            </w:pPr>
            <w:r>
              <w:rPr/>
              <w:t> </w:t>
            </w:r>
          </w:p>
        </w:tc>
        <w:tc>
          <w:tcPr>
            <w:tcW w:w="44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Companies Act does not have provisions governing the proceedings of shareholders meetings which are usually provided in the memorandum and articles of association. Please see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5"/>
        <w:gridCol w:w="60"/>
        <w:gridCol w:w="3280"/>
        <w:gridCol w:w="60"/>
        <w:gridCol w:w="5600"/>
      </w:tblGrid>
      <w:tr>
        <w:trPr/>
        <w:tc>
          <w:tcPr>
            <w:tcW w:w="12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Restructuring</w:t>
            </w:r>
          </w:p>
        </w:tc>
        <w:tc>
          <w:tcPr>
            <w:tcW w:w="60" w:type="dxa"/>
            <w:tcBorders/>
            <w:vAlign w:val="center"/>
          </w:tcPr>
          <w:p>
            <w:pPr>
              <w:pStyle w:val="TableContents"/>
              <w:bidi w:val="0"/>
              <w:spacing w:before="0" w:after="283"/>
              <w:jc w:val="left"/>
              <w:rPr/>
            </w:pPr>
            <w:r>
              <w:rPr/>
              <w:t> </w:t>
            </w:r>
          </w:p>
        </w:tc>
        <w:tc>
          <w:tcPr>
            <w:tcW w:w="32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may present a petition to the Grand Court of the Cayman Islands for the appointment of a restructuring officer on the grounds that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or is likely to become unable to pay its debts;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intends to present a compromise or arrangement to its creditors (or classes thereof) either pursuant to the Companies Act, the law of a foreign country or by way of a consensual restructuring.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tc>
      </w:tr>
      <w:tr>
        <w:trPr/>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Dissolution; Winding Up</w:t>
            </w:r>
          </w:p>
        </w:tc>
        <w:tc>
          <w:tcPr>
            <w:tcW w:w="60" w:type="dxa"/>
            <w:tcBorders/>
            <w:vAlign w:val="center"/>
          </w:tcPr>
          <w:p>
            <w:pPr>
              <w:pStyle w:val="TableContents"/>
              <w:bidi w:val="0"/>
              <w:spacing w:before="0" w:after="283"/>
              <w:jc w:val="left"/>
              <w:rPr/>
            </w:pPr>
            <w:r>
              <w:rPr/>
              <w:t> </w:t>
            </w:r>
          </w:p>
        </w:tc>
        <w:tc>
          <w:tcPr>
            <w:tcW w:w="3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of directors.</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Cayman Companies Act and our articles, the Company may be wound up by a special resolution of our shareholders, or if the winding up is initiated by our board of directors, by either a special resolution of our members or, if our company is unable to pay its debts as they fall due, by an ordinary resolution of our members. In addition, a company may be wound up by an order of the courts of the Cayman Islands. The court has authority to order winding up in a number of specified circumstances including where it is, in the opinion of the court, just and equitable to do so.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expressly indicated herein to the contrary, the share and pricing information under “History of Share Capital” reflects the actual share and pricing information at the time of the events in chronological order, without taking retroactive effect of subsequent share consolidations.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the Cayman Islands as an exempted company with limited liability on December 4, 2018. We have issued the following Ordinary Shares to certain founding shareholders.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21"/>
        <w:gridCol w:w="60"/>
        <w:gridCol w:w="1404"/>
        <w:gridCol w:w="60"/>
        <w:gridCol w:w="3550"/>
        <w:gridCol w:w="60"/>
        <w:gridCol w:w="2350"/>
      </w:tblGrid>
      <w:tr>
        <w:trPr/>
        <w:tc>
          <w:tcPr>
            <w:tcW w:w="2721"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Purchaser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4"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of Issuance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Consideration</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Rui Tai BVI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4, 2018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660 Ordinary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US$0.33</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Deng Guan BVI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4, 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460 Ordinary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US$0.23</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PBCY Investment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4, 2018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600 Ordinary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US$0.30</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EJAM BVI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4, 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 Ordinary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US$0.10</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Everlasting Innovation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4, 2018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 Ordinary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US$0.04</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Etone Investment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13,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 Ordinary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HK$14 million (US$1,797,731)</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Rui Tai BVI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6,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6,599,340 Ordinary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US$3,299.67</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Deng Guan BVI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6,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4,599,540 Ordinary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US$2,299.77</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PBCY Investment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6,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5,999,400 Ordinary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US$2,999.70</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EJAM BVI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6,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1,999,800 Ordinary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US$999.90</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Everlasting Innovation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6,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799,920 Ordinary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US$399.96</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Etone Investment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6,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399,960 Ordinary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US$199.98</w:t>
            </w:r>
          </w:p>
        </w:tc>
      </w:tr>
      <w:tr>
        <w:trPr/>
        <w:tc>
          <w:tcPr>
            <w:tcW w:w="272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Orient Plus International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18,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784,314 Ordinary Shares and 784,314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US$4,000,000</w:t>
            </w:r>
          </w:p>
        </w:tc>
      </w:tr>
      <w:tr>
        <w:trPr/>
        <w:tc>
          <w:tcPr>
            <w:tcW w:w="2721"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Union Hi-Tech Development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18,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1,176,470 Ordinary Shares and 1,176,470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US$6,000,000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2020, our shareholders and board of directors approved (i) a forward split of our outstanding Ordinary Shares at a ratio of 20-for-1 share, and (ii) an increase in our authorized shares to 100 million Ordinary Shares. Unless otherwise indicated, all references to Ordinary Shares, options to purchase Ordinary Shares, share data, per share data, and related information have been retroactively adjusted, where applicable, in this prospectus to reflect the forward split of our Ordinary Shares as if it had occurred at the beginning of the earlier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2020, we issued 6,599,340 Ordinary Shares to An Rui Tai BVI for a consideration of $3,299.67, 4,599,540 Ordinary Shares to Deng Guan BVI for a consideration of $2,299.77, 5,999,400 Ordinary Shares to PBCY Investment for a consideration of $2,999.70, 1,999,800 Ordinary Shares to EJAM BVI for a consideration of $999.90, 799,920 Ordinary Shares to Everlasting Innovation for a consideration of $399.96, and 399.960 Ordinary Shares to Etone Investment for a consideration of $199.98.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2021, pursuant to a Securities Purchase Agreement dated March 17, 2021, we issued 784,314 Ordinary Shares and 784,314 Warrants for a consideration of $4,000,000 to Orient Plus International Limited, and 1,176,470 Ordinary Shares and 1,176,470 Warrants for a consideration of $6,000,000 to Union Hi-Tech Development Limited. One Warrant included the right to purchase one half of one Ordinary Share at an exercise price of $5.61 per Ordinary Share. A Warrant may be exercised at any time on or after March 18, 2021 and on or prior to 5:00 p.m. (New York City time) on September 18, 2026 but not thereafter. Giving effect to a share consolidation at a ratio of one-for-three and one fifth (3.2) ordinary shares effective on May 24, 2022 and a share consolidation at a ratio of one-for-six (6) ordinary shares effective on March 21, 2023, the 1,960,784 Warrants were consolidated to 112,610 Warrants with each to purchase one half of one ordinary share at an exercise price of $107.71 per ordinary share. The holders of Warrants are granted with registration rights. If at any time after the six-month anniversary of March 18, 2021, there is no effective registration statement registering, or no current prospectus available for the issuance of the warrant shares to the holder and the resale of the warrant shares, then the Warrants may also be exercised, in whole or in part, at such time by means of “cashless exercise”. The Warrants are subject to adjustments in the event of 1) stock dividends and splits, 2) subsequent right offerings, 3) pro rata dilutions and 4) fundamental transactions. No fractional shares or scrip representing fractional shares shall be issued upon the exercise of the Warrants. As of the date of this prospectus, no Warrants have been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March 18, 2021, our authorized share capital consisted of $50,000 divided into 100,000,000 Ordinary Shares, par value $0.0005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2022, we held an annual general meeting of shareholders, during which the shareholders approved a proposal to effect a share consolidation of the Company’s 100,000,000 ordinary shares, par value US$0.0005 per share, in the Company’s issued and unissued share capital at a ratio of one-for-three and one fifth such that each 3.2 ordinary shares were combined into one ordinary share of the Company with a par value of US$0.0016. As a result of such share consolidation effective on May 24, 2022, our authorized share capital was US$50,000 divided into 31,250,000 ordinary shares of par value of US$0.0016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2023, we held an annual general meeting of shareholders, during which the shareholders approved the proposals: (i) to approve an increase of authorized share capital of the Company from US$50,000 divided into 31,250,000 ordinary shares of a par value US$0.0016 each to US$60,000 divided into 37,500,000 ordinary shares of a par value US$0.0016 each; and (ii) to effect a share consolidation of each six ordinary shares with par value of US$0.0016 each in our issued and unissued share capital into one ordinary share with par value of US$0.0096 each. Such share consolidation became effective on March 21, 2023, and the ordinary shares began trading on a post-share consolidation basis on the Nasdaq Capital Market when the market opened on March 22, 2023 under the same symbol “BAOS” but under a new CUSIP number of G08908124. Immediately following the share consolidation, the authorized share capital of the Company became US$60,000.00 divided into 6,250,000 ordinary shares of par value of US$0.0096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28 September, 2023, we held an extraordinary general meeting of shareholders, during which the shareholders approved the proposals to increase the authorized share capital of the Company from US$60,000 divided into 37,500,000 ordinary shares of a par value US$0.0016 each to US$9,600,000 divided into 1,000,000,000 ordinary shares of a par value US$0.0096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at a subsequent date, result in a change of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p_009"/>
      <w:bookmarkEnd w:id="10"/>
      <w:r>
        <w:rPr>
          <w:rFonts w:ascii="Times New Roman;Times;Serif" w:hAnsi="Times New Roman;Times;Serif"/>
          <w:b/>
          <w:i w:val="false"/>
          <w:caps w:val="false"/>
          <w:smallCaps w:val="false"/>
          <w:sz w:val="20"/>
        </w:rPr>
        <w:t>DESCRIPTION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our Ordinary Shares either alone or underlying other securities convertible into or exercisable or exchangeable for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are entitled to certain rights and subject to certain conditions as set forth in our amended and restated memorandum and articles of association and the Companies Act. See “Description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p_010"/>
      <w:bookmarkEnd w:id="11"/>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which may or may not be converted into our Ordinary Shares. We may issue the debt securities independently or together with any underlying securities, and debt securities may be attached or separate from the underlying securities. In connection with the issuance of any debt securities, we do not intend to issue them pursuant to a trust indenture upon reliance of Section 304(a)(8) of the Trust Indenture Act and Rule 4a-1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debt securities that we may issue. The summary is not complete. When debt securities are offered in the future, a prospectus supplement, information incorporated by reference, or a free writing prospectus, as applicable, will explain the particular terms of those securities and the extent to which these general provisions may apply. The specific terms of the debt securities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debt securities in the applicable prospectus supplement, information incorporated by reference, or free writing prospectus is subject to and is qualified in its entirety by reference to all the provisions of any specific debt securities document or agreement. We will file each of these documents, as applicable, with the SEC and incorporate them by reference as an exhibit to the registration statement of which this prospectus is a part on or before the time we issue a series of warrants. See “Where You Can Find Additional Information” and “Incorporation of Documents by Reference” below for information on how to obtain a copy of a debt securities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debt securities, we mean all debt securities issued as part of the same series under the applicable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debt securities that we may offer,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title of the debt securities;</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total amount of the debt securities;</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amount or amounts of the debt securities will be issued and interest rate;</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conversion price at which the debt securities may be converted;</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 on which the right to convert the debt securities will commence and the date on which the right will expire;</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applicable, the minimum or maximum amount of debt securities that may be converted at any one time;</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applicable, a discussion of material federal income tax consideration;</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applicable, the terms of the payoff of the debt securities;</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identity of the indenture agent, if any;</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procedures and conditions relating to the conversion of the debt securities; and</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other terms of the debt securities, including terms, procedure and limitation relating to the exchange or conversion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in registered form or bearer form. Debt securities issued in registered form, i.e., book-entry form, will be represented by a global security registered in the name of a depository, which will be the holder of all the debt securities represented by the global security. Those investors who own beneficial interests in global debt securities will do so through participants in the depository’s system, and the rights of these indirect owners will be governed solely by the applicable procedures of the depository and its participants. In addition, we may issue debt securities in non-global form, i.e., bearer form. If any debt securities are issued in non-global form, debt securities certificates may be exchanged for new debt securities certificates of different denominations, and holders may exchange, transfer, or convert their debt securities at the debt securities agent’s office or any other office indicated in the applicable prospectus supplement, information incorporated by reference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conversion of their debt securities, holders of debt securities convertible for Ordinary Shares will not have any rights of holders of Ordinary Shares, and will not be entitled to dividend payments, if any, or voting rights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security may entitle the holder to purchase, in exchange for the extinguishment of debt, an amount of securities at a conversion price that will be stated in the debt security. Debt securities may be converted at any time up to the close of business on the expiration date set forth in the terms of such debt security. After the close of business on the expiration date, debt securities not exercised will be paid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converted as set forth in the applicable offering material. Upon receipt of a notice of conversion properly completed and duly executed at the corporate trust office of the indenture agent, if any, or to us, we will forward, as soon as practicable, the securities purchasable upon such exercise. If less than all of the debt security represented by such security is converted, a new debt security will be issued for the remaining debt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p_011"/>
      <w:bookmarkEnd w:id="12"/>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securities. We may issue the warrants independently or together with any underlying securities, and the warrants may be attached or separate from the underlying securities. We may also issue a series of warrants under a separate warrant agreement to be entered into between us and a warrant agent. The warrant agent will act solely as our agent in connection with the warrants of such series and will not assume any obligation or relationship of agency for or with holders or beneficial owners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warrants that we may issue. The summary is not complete. When warrants are offered in the future, a prospectus supplement, information incorporated by reference, or a free writing prospectus, as applicable, will explain the particular terms of those securities and the extent to which these general provisions may apply. The specific terms of the warrants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warrants in the applicable prospectus supplement, information incorporated by reference, or free writing prospectus is subject to and is qualified in its entirety by reference to all the provisions of any specific warrant document or agreement, if applicable. We will file each of these documents, as applicable, with the SEC and incorporate them by reference as an exhibit to the registration statement of which this prospectus is a part on or before the time we issue a series of warrants. See “Where You Can Find Additional Information” and “Incorporation of Documents by Reference” below for information on how to obtain a copy of a warrant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warrants, we mean all warrants issued as part of the same series under the applicable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warrants that we may offer,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105"/>
        <w:gridCol w:w="140"/>
        <w:gridCol w:w="5930"/>
      </w:tblGrid>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30" w:type="dxa"/>
            <w:tcBorders/>
            <w:vAlign w:val="center"/>
          </w:tcPr>
          <w:p>
            <w:pPr>
              <w:pStyle w:val="TableContents"/>
              <w:bidi w:val="0"/>
              <w:spacing w:before="0" w:after="283"/>
              <w:jc w:val="both"/>
              <w:rPr>
                <w:sz w:val="20"/>
              </w:rPr>
            </w:pPr>
            <w:r>
              <w:rPr>
                <w:sz w:val="20"/>
              </w:rPr>
              <w:t>the title of the warrants;</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30" w:type="dxa"/>
            <w:tcBorders/>
            <w:vAlign w:val="center"/>
          </w:tcPr>
          <w:p>
            <w:pPr>
              <w:pStyle w:val="TableContents"/>
              <w:bidi w:val="0"/>
              <w:spacing w:before="0" w:after="283"/>
              <w:jc w:val="both"/>
              <w:rPr>
                <w:sz w:val="20"/>
              </w:rPr>
            </w:pPr>
            <w:r>
              <w:rPr>
                <w:sz w:val="20"/>
              </w:rPr>
              <w:t>the total number of warrants;</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30" w:type="dxa"/>
            <w:tcBorders/>
            <w:vAlign w:val="center"/>
          </w:tcPr>
          <w:p>
            <w:pPr>
              <w:pStyle w:val="TableContents"/>
              <w:bidi w:val="0"/>
              <w:spacing w:before="0" w:after="283"/>
              <w:jc w:val="both"/>
              <w:rPr>
                <w:sz w:val="20"/>
              </w:rPr>
            </w:pPr>
            <w:r>
              <w:rPr>
                <w:sz w:val="20"/>
              </w:rPr>
              <w:t>the price or prices at which the warrants will be issued;</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30" w:type="dxa"/>
            <w:tcBorders/>
            <w:vAlign w:val="center"/>
          </w:tcPr>
          <w:p>
            <w:pPr>
              <w:pStyle w:val="TableContents"/>
              <w:bidi w:val="0"/>
              <w:spacing w:before="0" w:after="283"/>
              <w:jc w:val="both"/>
              <w:rPr>
                <w:sz w:val="20"/>
              </w:rPr>
            </w:pPr>
            <w:r>
              <w:rPr>
                <w:sz w:val="20"/>
              </w:rPr>
              <w:t>the price or prices at which the warrants may be exercised;</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30" w:type="dxa"/>
            <w:tcBorders/>
            <w:vAlign w:val="center"/>
          </w:tcPr>
          <w:p>
            <w:pPr>
              <w:pStyle w:val="TableContents"/>
              <w:bidi w:val="0"/>
              <w:spacing w:before="0" w:after="283"/>
              <w:jc w:val="both"/>
              <w:rPr>
                <w:sz w:val="20"/>
              </w:rPr>
            </w:pPr>
            <w:r>
              <w:rPr>
                <w:sz w:val="20"/>
              </w:rPr>
              <w:t>the currency or currencies that investors may use to pay for the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sz w:val="20"/>
              </w:rPr>
            </w:pPr>
            <w:r>
              <w:rPr>
                <w:sz w:val="20"/>
              </w:rPr>
              <w:t>the date on which the right to exercise the warrants will commence and the date on which the right will expire;</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sz w:val="20"/>
              </w:rPr>
            </w:pPr>
            <w:r>
              <w:rPr>
                <w:sz w:val="20"/>
              </w:rPr>
              <w:t>whether the warrants will be issued in registered form or bearer form;</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sz w:val="20"/>
              </w:rPr>
            </w:pPr>
            <w:r>
              <w:rPr>
                <w:sz w:val="20"/>
              </w:rPr>
              <w:t>information with respect to book-entry procedures, if any;</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sz w:val="20"/>
              </w:rPr>
            </w:pPr>
            <w:r>
              <w:rPr>
                <w:sz w:val="20"/>
              </w:rPr>
              <w:t>if applicable, the minimum or maximum amount of warrants that may be exercised at any one time;</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sz w:val="20"/>
              </w:rPr>
            </w:pPr>
            <w:r>
              <w:rPr>
                <w:sz w:val="20"/>
              </w:rPr>
              <w:t>if applicable, the designation and terms of the underlying securities with which the warrants are issued and the number of warrants issued with each underlying security;</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sz w:val="20"/>
              </w:rPr>
            </w:pPr>
            <w:r>
              <w:rPr>
                <w:sz w:val="20"/>
              </w:rPr>
              <w:t>if applicable, the date on and after which the warrants and the related underlying securities will be separately transferable;</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sz w:val="20"/>
              </w:rPr>
            </w:pPr>
            <w:r>
              <w:rPr>
                <w:sz w:val="20"/>
              </w:rPr>
              <w:t>if applicable, a discussion of material federal income tax considerations;</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sz w:val="20"/>
              </w:rPr>
            </w:pPr>
            <w:r>
              <w:rPr>
                <w:sz w:val="20"/>
              </w:rPr>
              <w:t>if applicable, the terms of redemption of the warrants;</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sz w:val="20"/>
              </w:rPr>
            </w:pPr>
            <w:r>
              <w:rPr>
                <w:sz w:val="20"/>
              </w:rPr>
              <w:t>the identity of the warrant agent, if any;</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sz w:val="20"/>
              </w:rPr>
            </w:pPr>
            <w:r>
              <w:rPr>
                <w:sz w:val="20"/>
              </w:rPr>
              <w:t>the procedures and conditions relating to the exercise of the warrants; and</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sz w:val="20"/>
              </w:rPr>
            </w:pPr>
            <w:r>
              <w:rPr>
                <w:sz w:val="20"/>
              </w:rPr>
              <w:t>any other terms of the warrants, including terms, procedures, and limitations relating to the exchange and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under a warrant agreement will act solely as our agent in connection with the warrants issued under that agreement. Any holder of warrants may, without the consent of any other person, enforce by appropriate legal action, on its own behalf, its right to exercise those warrants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registered form or bearer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 In addition, we may issue warrants in non-global form, i.e., bearer form. If any warrants are issued in non-global form, warrant certificates may be exchanged for new warrant certificates of different denominations, and holders may exchange, transfer, or exercise their warrants at the warrant agent’s office or any other office indicated in the applicable prospectus supplement, information incorporated by reference,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their warrants, holders of warrants exercisable for Ordinary Shares will not have any rights of holders of Ordinary Shares and will not be entitled to dividend payments, if any, or voting rights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will entitle the holder to purchase for cash an amount of securities at an exercise price that will be stated in, or that will be determinable as described in, the applicable prospectus supplement, information incorporated by reference, or free writing prospectus. Warrants may be exercised at any time up to the close of business on the expiration date set forth in the applicable offering material. After the close of business on the expiration date, unexercised warrants will become void. Warrants may be redeemed as set forth in the applicable offering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as set forth in the applicable offering material. Upon receipt of payment and the warrant certificate properly completed and duly executed at the corporate trust office of the warrant agent or any other office indicated in the applicable offering material, we will forward, as soon as practicable, the securities purchasable upon such exercise. If less than all of the warrants represented by such warrant certificate are exercised, a new warrant certificate will be issued for the remaining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03"/>
      <w:bookmarkEnd w:id="13"/>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which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105"/>
        <w:gridCol w:w="140"/>
        <w:gridCol w:w="9560"/>
      </w:tblGrid>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both"/>
              <w:rPr>
                <w:sz w:val="20"/>
              </w:rPr>
            </w:pPr>
            <w:r>
              <w:rPr>
                <w:sz w:val="20"/>
              </w:rPr>
              <w:t>the date of determining the security holders entitled to the rights distribution;</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both"/>
              <w:rPr>
                <w:sz w:val="20"/>
              </w:rPr>
            </w:pPr>
            <w:r>
              <w:rPr>
                <w:sz w:val="20"/>
              </w:rPr>
              <w:t>the aggregate number of rights issued and the aggregate amount of securities purchasable upon exercise of the rights;</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both"/>
              <w:rPr>
                <w:sz w:val="20"/>
              </w:rPr>
            </w:pPr>
            <w:r>
              <w:rPr>
                <w:sz w:val="20"/>
              </w:rPr>
              <w:t>the exercise price;</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both"/>
              <w:rPr>
                <w:sz w:val="20"/>
              </w:rPr>
            </w:pPr>
            <w:r>
              <w:rPr>
                <w:sz w:val="20"/>
              </w:rPr>
              <w:t>the conditions to completion of the rights offering;</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both"/>
              <w:rPr>
                <w:sz w:val="20"/>
              </w:rPr>
            </w:pPr>
            <w:r>
              <w:rPr>
                <w:sz w:val="20"/>
              </w:rPr>
              <w:t>the date on which the right to exercise the rights will commence and the date on which the rights will expire; and</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both"/>
              <w:rPr>
                <w:sz w:val="20"/>
              </w:rPr>
            </w:pPr>
            <w:r>
              <w:rPr>
                <w:sz w:val="20"/>
              </w:rPr>
              <w:t>any applicable federal income tax considerations.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p_013"/>
      <w:bookmarkEnd w:id="14"/>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composed of any combination of our securities.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units in the applicable prospectus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the time we issue a series of units. See “Where You Can Find Additional Information” and “Incorporation of Documents by Reference” below for information on how to obtain a copy of a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sz w:val="20"/>
              </w:rPr>
            </w:pPr>
            <w:r>
              <w:rPr>
                <w:sz w:val="20"/>
              </w:rPr>
              <w:t>the designation and terms of the units and of the securities comprising the units, including whether and under what circumstances those securities may be held or transferred separately;</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sz w:val="20"/>
              </w:rPr>
            </w:pPr>
            <w:r>
              <w:rPr>
                <w:sz w:val="20"/>
              </w:rPr>
              <w:t>any provisions for the issuance, payment, settlement, transfer, or exchange of the units or of the securities composing the units;</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sz w:val="20"/>
              </w:rPr>
            </w:pPr>
            <w:r>
              <w:rPr>
                <w:sz w:val="20"/>
              </w:rPr>
              <w:t>whether the units will be issued in fully registered or global form; and</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both"/>
              <w:rPr>
                <w:sz w:val="20"/>
              </w:rPr>
            </w:pPr>
            <w:r>
              <w:rPr>
                <w:sz w:val="20"/>
              </w:rPr>
              <w:t>any other terms of the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provisions described in this section, as well as those described under “Description of Share Capital,” “Description of Ordinary Shares,” “Description of Debt Securities,” “Description of Warrants,” and “Description of Rights” above, will apply to each unit and to each security included in each unit, respectively.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d_001"/>
      <w:bookmarkEnd w:id="15"/>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describe the terms of the offering, including the following information,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subscription rights in respect of which this prospectus is being delivered:</w:t>
      </w:r>
    </w:p>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75"/>
        <w:gridCol w:w="110"/>
        <w:gridCol w:w="3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545" w:type="dxa"/>
            <w:tcBorders/>
            <w:vAlign w:val="center"/>
          </w:tcPr>
          <w:p>
            <w:pPr>
              <w:pStyle w:val="TableContents"/>
              <w:bidi w:val="0"/>
              <w:spacing w:before="0" w:after="283"/>
              <w:jc w:val="both"/>
              <w:rPr>
                <w:sz w:val="20"/>
              </w:rPr>
            </w:pPr>
            <w:r>
              <w:rPr>
                <w:sz w:val="20"/>
              </w:rPr>
              <w:t>the name or names of any dealers or agents;</w:t>
            </w:r>
          </w:p>
        </w:tc>
      </w:tr>
    </w:tbl>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10"/>
        <w:gridCol w:w="5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40" w:type="dxa"/>
            <w:tcBorders/>
            <w:vAlign w:val="center"/>
          </w:tcPr>
          <w:p>
            <w:pPr>
              <w:pStyle w:val="TableContents"/>
              <w:bidi w:val="0"/>
              <w:spacing w:before="0" w:after="283"/>
              <w:jc w:val="both"/>
              <w:rPr>
                <w:sz w:val="20"/>
              </w:rPr>
            </w:pPr>
            <w:r>
              <w:rPr>
                <w:sz w:val="20"/>
              </w:rPr>
              <w:t>the name or names of any managing underwriter or underwriters;</w:t>
            </w:r>
          </w:p>
        </w:tc>
      </w:tr>
    </w:tbl>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11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885" w:type="dxa"/>
            <w:tcBorders/>
            <w:vAlign w:val="center"/>
          </w:tcPr>
          <w:p>
            <w:pPr>
              <w:pStyle w:val="TableContents"/>
              <w:bidi w:val="0"/>
              <w:spacing w:before="0" w:after="283"/>
              <w:jc w:val="both"/>
              <w:rPr>
                <w:sz w:val="20"/>
              </w:rPr>
            </w:pPr>
            <w:r>
              <w:rPr>
                <w:sz w:val="20"/>
              </w:rPr>
              <w:t>the purchase price of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1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15" w:type="dxa"/>
            <w:tcBorders/>
            <w:vAlign w:val="center"/>
          </w:tcPr>
          <w:p>
            <w:pPr>
              <w:pStyle w:val="TableContents"/>
              <w:bidi w:val="0"/>
              <w:spacing w:before="0" w:after="283"/>
              <w:jc w:val="both"/>
              <w:rPr>
                <w:sz w:val="20"/>
              </w:rPr>
            </w:pPr>
            <w:r>
              <w:rPr>
                <w:sz w:val="20"/>
              </w:rPr>
              <w:t>the net proceeds from the sale of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11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30" w:type="dxa"/>
            <w:tcBorders/>
            <w:vAlign w:val="center"/>
          </w:tcPr>
          <w:p>
            <w:pPr>
              <w:pStyle w:val="TableContents"/>
              <w:bidi w:val="0"/>
              <w:spacing w:before="0" w:after="283"/>
              <w:jc w:val="both"/>
              <w:rPr>
                <w:sz w:val="20"/>
              </w:rPr>
            </w:pPr>
            <w:r>
              <w:rPr>
                <w:sz w:val="20"/>
              </w:rPr>
              <w:t>any delayed delivery arrangements;</w:t>
            </w:r>
          </w:p>
        </w:tc>
      </w:tr>
    </w:tbl>
    <w:p>
      <w:pPr>
        <w:pStyle w:val="TextBody"/>
        <w:bidi w:val="0"/>
        <w:spacing w:before="0" w:after="0"/>
        <w:ind w:left="0" w:right="0" w:hanging="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11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both"/>
              <w:rPr>
                <w:sz w:val="20"/>
              </w:rPr>
            </w:pPr>
            <w:r>
              <w:rPr>
                <w:sz w:val="20"/>
              </w:rPr>
              <w:t>any underwriting discounts, commissions and other items constituting underwriters’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110"/>
        <w:gridCol w:w="2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615" w:type="dxa"/>
            <w:tcBorders/>
            <w:vAlign w:val="center"/>
          </w:tcPr>
          <w:p>
            <w:pPr>
              <w:pStyle w:val="TableContents"/>
              <w:bidi w:val="0"/>
              <w:spacing w:before="0" w:after="283"/>
              <w:jc w:val="both"/>
              <w:rPr>
                <w:sz w:val="20"/>
              </w:rPr>
            </w:pPr>
            <w:r>
              <w:rPr>
                <w:sz w:val="20"/>
              </w:rPr>
              <w:t>any offering price to the public;</w:t>
            </w:r>
          </w:p>
        </w:tc>
      </w:tr>
    </w:tbl>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10"/>
        <w:gridCol w:w="5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75" w:type="dxa"/>
            <w:tcBorders/>
            <w:vAlign w:val="center"/>
          </w:tcPr>
          <w:p>
            <w:pPr>
              <w:pStyle w:val="TableContents"/>
              <w:bidi w:val="0"/>
              <w:spacing w:before="0" w:after="283"/>
              <w:jc w:val="both"/>
              <w:rPr>
                <w:sz w:val="20"/>
              </w:rPr>
            </w:pPr>
            <w:r>
              <w:rPr>
                <w:sz w:val="20"/>
              </w:rPr>
              <w:t>any discounts or concessions allowed or reallowed or paid to dealers; and</w:t>
            </w:r>
          </w:p>
        </w:tc>
      </w:tr>
    </w:tbl>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75"/>
        <w:gridCol w:w="110"/>
        <w:gridCol w:w="2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660" w:type="dxa"/>
            <w:tcBorders/>
            <w:vAlign w:val="center"/>
          </w:tcPr>
          <w:p>
            <w:pPr>
              <w:pStyle w:val="TableContents"/>
              <w:bidi w:val="0"/>
              <w:spacing w:before="0" w:after="283"/>
              <w:jc w:val="both"/>
              <w:rPr>
                <w:sz w:val="20"/>
              </w:rPr>
            </w:pPr>
            <w:r>
              <w:rPr>
                <w:sz w:val="20"/>
              </w:rPr>
              <w:t>any commissions paid to agents.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 or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 underwriters will acquire the securities for their own account, including through underwriting, purchase, security lending or repurchase agreements.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transactions and hedging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auctions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Of course, many pricing methods can and may also be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entered into with us, to indemnification by us against certain liabilities, including liabilities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d_002"/>
      <w:bookmarkEnd w:id="16"/>
      <w:r>
        <w:rPr>
          <w:rFonts w:ascii="Times New Roman;Times;Serif" w:hAnsi="Times New Roman;Times;Serif"/>
          <w:b/>
          <w:i w:val="false"/>
          <w:caps w:val="false"/>
          <w:smallCaps w:val="false"/>
          <w:sz w:val="20"/>
        </w:rPr>
        <w:t>TAXATION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the securities offered by this prospectus are set forth in “Item 10. Additional Information—E. Taxation” in our 2025 Annual Report, which is incorporated herein by reference, as updated by our subsequent filings under the Exchange Act that are incorporated by reference and, if applicable, in any accompanying prospectus supplement or relevant free writing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the Cayman Islands currently levies no taxes on individuals or corporations based upon profits, income, gains or appreciation and there is no taxation in the nature of inheritance tax or estate duty. There are no other taxes likely to be material to the Company levied by the Government of the Cayman Islands except for stamp duties which may be applicable on instruments executed in, or, after execution, brought within the jurisdiction of the Cayman Islands. There are no exchange control regulations or currency restrictions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d_003"/>
      <w:bookmarkEnd w:id="17"/>
      <w:r>
        <w:rPr>
          <w:rFonts w:ascii="Times New Roman;Times;Serif" w:hAnsi="Times New Roman;Times;Serif"/>
          <w:b/>
          <w:i w:val="false"/>
          <w:caps w:val="false"/>
          <w:smallCaps w:val="false"/>
          <w:sz w:val="20"/>
        </w:rPr>
        <w:t>EXPENSES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costs and expenses, other than underwriting discounts and commissions, payable by us in connection with the offering of the securities being registered. All the amounts shown are estimates, except for the SEC registration fee.</w:t>
      </w:r>
    </w:p>
    <w:p>
      <w:pPr>
        <w:pStyle w:val="TextBody"/>
        <w:bidi w:val="0"/>
        <w:spacing w:before="0" w:after="0"/>
        <w:ind w:left="0" w:right="0" w:hanging="0"/>
        <w:jc w:val="both"/>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3605"/>
        <w:gridCol w:w="60"/>
        <w:gridCol w:w="125"/>
        <w:gridCol w:w="845"/>
        <w:gridCol w:w="290"/>
      </w:tblGrid>
      <w:tr>
        <w:trPr/>
        <w:tc>
          <w:tcPr>
            <w:tcW w:w="3605" w:type="dxa"/>
            <w:tcBorders/>
            <w:shd w:fill="CCEEFF" w:val="clear"/>
            <w:vAlign w:val="center"/>
          </w:tcPr>
          <w:p>
            <w:pPr>
              <w:pStyle w:val="TableContents"/>
              <w:bidi w:val="0"/>
              <w:spacing w:before="0" w:after="283"/>
              <w:jc w:val="left"/>
              <w:rPr>
                <w:sz w:val="20"/>
              </w:rPr>
            </w:pPr>
            <w:r>
              <w:rPr>
                <w:sz w:val="20"/>
              </w:rPr>
              <w:t>SEC registration fee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27,643.80</w:t>
            </w:r>
          </w:p>
        </w:tc>
        <w:tc>
          <w:tcPr>
            <w:tcW w:w="290" w:type="dxa"/>
            <w:tcBorders/>
            <w:shd w:fill="CCEEFF" w:val="clear"/>
            <w:vAlign w:val="center"/>
          </w:tcPr>
          <w:p>
            <w:pPr>
              <w:pStyle w:val="TableContents"/>
              <w:bidi w:val="0"/>
              <w:spacing w:before="0" w:after="283"/>
              <w:jc w:val="left"/>
              <w:rPr>
                <w:sz w:val="20"/>
              </w:rPr>
            </w:pPr>
            <w:r>
              <w:rPr>
                <w:position w:val="7"/>
                <w:sz w:val="16"/>
                <w:sz w:val="20"/>
              </w:rPr>
              <w:t>(1)</w:t>
            </w:r>
            <w:r>
              <w:rPr>
                <w:sz w:val="20"/>
              </w:rPr>
              <w:t> </w:t>
            </w:r>
          </w:p>
        </w:tc>
      </w:tr>
      <w:tr>
        <w:trPr/>
        <w:tc>
          <w:tcPr>
            <w:tcW w:w="3605" w:type="dxa"/>
            <w:tcBorders/>
            <w:shd w:fill="FFFFFF" w:val="clear"/>
            <w:vAlign w:val="center"/>
          </w:tcPr>
          <w:p>
            <w:pPr>
              <w:pStyle w:val="TableContents"/>
              <w:bidi w:val="0"/>
              <w:spacing w:before="0" w:after="283"/>
              <w:jc w:val="left"/>
              <w:rPr>
                <w:sz w:val="20"/>
              </w:rPr>
            </w:pPr>
            <w:r>
              <w:rPr>
                <w:sz w:val="20"/>
              </w:rPr>
              <w:t>Financial Industry Regulatory Authority fee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w:t>
            </w:r>
          </w:p>
        </w:tc>
        <w:tc>
          <w:tcPr>
            <w:tcW w:w="29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sz w:val="20"/>
              </w:rPr>
            </w:pPr>
            <w:r>
              <w:rPr>
                <w:sz w:val="20"/>
              </w:rPr>
              <w:t>Legal fees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w:t>
            </w:r>
          </w:p>
        </w:tc>
        <w:tc>
          <w:tcPr>
            <w:tcW w:w="29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sz w:val="20"/>
              </w:rPr>
            </w:pPr>
            <w:r>
              <w:rPr>
                <w:sz w:val="20"/>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w:t>
            </w:r>
          </w:p>
        </w:tc>
        <w:tc>
          <w:tcPr>
            <w:tcW w:w="29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sz w:val="20"/>
              </w:rPr>
            </w:pPr>
            <w:r>
              <w:rPr>
                <w:sz w:val="20"/>
              </w:rPr>
              <w:t>Miscellaneous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29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b/>
                <w:sz w:val="20"/>
              </w:rPr>
            </w:pPr>
            <w:r>
              <w:rPr>
                <w:b/>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To be provided by a prospectus supplement or as an exhibit to a report of foreign private issuer on Form 6-K that is incorporated by reference into this registration statement. Estimated solely for this item. Actual expenses may vary.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Pursuant to Rule 415(a)(6) the Securities Act, the securities registered pursuant to this registration statement include $99,827,633.62 of unsold securities previously registered on the Company’s Registration Statement on Form F-3 (File No. 333-273720) filed with the Securities and Exchange Commission on August 4, 2023 and declared effective on September 26, 2023 (the “Prior Registration Statement”). The filing fees previously paid in connection with such unsold securities will continue to be applied to such unsold securities and the Company paid an additional fee of $27,643.80 in connection with the filing of this Registration Statement. This Registration Statement is being filed to replace the Prior Registration Statement prior to its expiration.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d_004"/>
      <w:bookmarkEnd w:id="18"/>
      <w:r>
        <w:rPr>
          <w:rFonts w:ascii="Times New Roman;Times;Serif" w:hAnsi="Times New Roman;Times;Serif"/>
          <w:b/>
          <w:i w:val="false"/>
          <w:caps w:val="false"/>
          <w:smallCaps w:val="false"/>
          <w:sz w:val="20"/>
        </w:rPr>
        <w:t>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contracts are described in the documents incorporated by reference into this prospectus. See “Incorporation of Documents by Reference”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d_005"/>
      <w:bookmarkEnd w:id="19"/>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our 2025 Annual Report, in our reports of foreign issuer on Form 6-K filed or submitted under the Exchange Act and incorporated by reference herein, and as disclosed in this prospectus or the applicable prospectus supplement, no reportable material changes have occurred since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d_006"/>
      <w:bookmarkEnd w:id="2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CFN Lawyers LLC with respect to certain legal matters as to United States federal securities and New York State law. The validity of the securities offered in this offering and certain other legal matters as to Cayman Islands law are passed upon for us by Appleby, our counsel as to Cayman Islands law. Legal matters as to PRC law are passed upon for us by ANLI Partners Law Offices, LLP (Tianjin). 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d_007"/>
      <w:bookmarkEnd w:id="21"/>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by reference in this prospectus for the fiscal year ended December 31, 2025 have been audited by GGF CPA LTD, an independent registered public accounting firm, as set forth in their report thereon included therein, and incorporated herein by reference, and are included in reliance upon such report given on the authority of such firm as experts in accounting and auditing. The office of GGF CPA LTD is located at Room 2112, Building A1, No.2 Jinxin Street, Liwan District, Guangzhou, Guangdong,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by reference in this prospectus for the fiscal years ended December 31, 2023 and 2024 have been audited by YCM CPA INC., an independent registered public accounting firm, as set forth in their report thereon included therein, and incorporated herein by reference, and are included in reliance upon such report given on the authority of such firm as experts in accounting and auditing. The office of YCM CPA INC. was located at 4482 Barranca Parkway, Suite 239, Irvine,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5"/>
      <w:bookmarkEnd w:id="22"/>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Cayman Islands as an exempted company with limited liability. We incorporated under the laws of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The Cayman Islands, however, has a less developed body of securities laws as compared to the United States and provides significantly less protection for investors than the United States. Additionally, Cayman Islands companies may not have standing to sue in the Federal courts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in the PRC. In addition, all of our directors and officers reside in China, including our chief executive officer and chairwoman of the board, Lina Jiang, our chief financial office, Chenfang Zhai, and our directors, Lei Cai, Jian Zhang, and Chenxi Fang,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Puglisi &amp; Associates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Appleby, our counsel with respect to the laws of the Cayman Islands, and ANLI Partners Law Offices, LLP (Tianjin), our counsel with respect to PRC law, have advised us that there is uncertainty as to whether the courts of the Cayman Islands or the PRC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the Cayman Islands or the PRC against us or our directors or officers predicated upon the securities laws of the United States or any state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Appleby has further advised us that there is no statutory enforcement in the Cayman Islands of judgments obtained in the United States, although the courts of the Cayman Islands will recognize and enforce a foreign money judgment of a foreign court of competent jurisdiction, without retrial on of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 Appleby has informed us that there is uncertainty with regard to Cayman Islands law relating to whether a judgment obtained from the U.S. courts under civil liability provisions of the securities laws will be determined by the courts of the Cayman Islands as penal or punitive in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ANLI Partners Law Offices, LLP (Tianjin), our counsel with respect to PRC laws, has further advised us that 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reciprocity between jurisdictions. There are no treaties or other forms of reciprocity between China and the United States for the mutual recognition and enforcement of court judgments. ANLI Partners Law Offices, LLP (Tianjin) has further advised us that under PRC law, PRC courts will not enforce a foreign judgment against us or our officers and directors if the court decides that such judgment violates the basic principles of PRC law or national sovereignty, security or public interest, thus making the recognition and enforcement of a U.S. court judgment in China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3" w:name="sp_018"/>
      <w:bookmarkEnd w:id="23"/>
      <w:r>
        <w:rPr>
          <w:rFonts w:ascii="Times New Roman;Times;Serif" w:hAnsi="Times New Roman;Times;Serif"/>
          <w:b/>
          <w:i w:val="false"/>
          <w:caps/>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All information electronically filed with the SEC can be inspected over the Internet at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and 10% principal shareholders are exempt from the reporting provisions contained in Section 16 of the Exchange Act. In addition, our executive officers and directors are exempt from the short-swing profit recovery provisions under Section 16(b) of the Exchange Act, but are subject to beneficial ownership reporting requirements under Section 16(a) of the Exchange Act unless an exemption applies. In addition, we will not be required under the Exchange Act to file periodic or current reports and financial statements with the SEC as frequently or as promptly as U.S. companies whose securities are registered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sp_019"/>
      <w:bookmarkEnd w:id="24"/>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certain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w:t>
      </w:r>
    </w:p>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245"/>
        <w:gridCol w:w="929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290" w:type="dxa"/>
            <w:tcBorders/>
            <w:vAlign w:val="center"/>
          </w:tcPr>
          <w:p>
            <w:pPr>
              <w:pStyle w:val="TableContents"/>
              <w:bidi w:val="0"/>
              <w:spacing w:before="0" w:after="283"/>
              <w:jc w:val="left"/>
              <w:rPr/>
            </w:pPr>
            <w:hyperlink r:id="rId4">
              <w:r>
                <w:rPr>
                  <w:rStyle w:val="InternetLink"/>
                  <w:rFonts w:ascii="Times New Roman;Times;Serif" w:hAnsi="Times New Roman;Times;Serif"/>
                  <w:sz w:val="20"/>
                </w:rPr>
                <w:t>our annual report on Form 20-F for the fiscal year ended December 31, 2025, filed with the SEC on April 30,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9" w:type="dxa"/>
            <w:tcBorders/>
            <w:vAlign w:val="center"/>
          </w:tcPr>
          <w:p>
            <w:pPr>
              <w:pStyle w:val="TableContents"/>
              <w:bidi w:val="0"/>
              <w:spacing w:before="0" w:after="283"/>
              <w:jc w:val="both"/>
              <w:rPr/>
            </w:pPr>
            <w:r>
              <w:rPr/>
              <w:t xml:space="preserve">our Reports on Form 6-K filed with the SEC on </w:t>
            </w:r>
            <w:hyperlink r:id="rId5">
              <w:r>
                <w:rPr>
                  <w:rStyle w:val="InternetLink"/>
                </w:rPr>
                <w:t>May 18, 2026</w:t>
              </w:r>
            </w:hyperlink>
            <w:r>
              <w:rPr/>
              <w:t xml:space="preserve">, </w:t>
            </w:r>
            <w:hyperlink r:id="rId6">
              <w:r>
                <w:rPr>
                  <w:rStyle w:val="InternetLink"/>
                </w:rPr>
                <w:t>June 4, 2026</w:t>
              </w:r>
            </w:hyperlink>
            <w:r>
              <w:rPr/>
              <w:t xml:space="preserve">, </w:t>
            </w:r>
            <w:hyperlink r:id="rId7">
              <w:r>
                <w:rPr>
                  <w:rStyle w:val="InternetLink"/>
                </w:rPr>
                <w:t>June 10, 2026</w:t>
              </w:r>
            </w:hyperlink>
            <w:r>
              <w:rPr/>
              <w:t xml:space="preserve">, </w:t>
            </w:r>
            <w:hyperlink r:id="rId8">
              <w:r>
                <w:rPr>
                  <w:rStyle w:val="InternetLink"/>
                </w:rPr>
                <w:t>July 9, 2026</w:t>
              </w:r>
            </w:hyperlink>
            <w:r>
              <w:rPr>
                <w:rFonts w:ascii="Times New Roman;Times;Serif" w:hAnsi="Times New Roman;Times;Serif"/>
              </w:rPr>
              <w:t xml:space="preserve">, </w:t>
            </w:r>
            <w:hyperlink r:id="rId9">
              <w:r>
                <w:rPr>
                  <w:rStyle w:val="InternetLink"/>
                  <w:rFonts w:ascii="Times New Roman;Times;Serif" w:hAnsi="Times New Roman;Times;Serif"/>
                  <w:sz w:val="20"/>
                </w:rPr>
                <w:t>July 13, 2026</w:t>
              </w:r>
            </w:hyperlink>
            <w:r>
              <w:rPr>
                <w:rFonts w:ascii="Times New Roman;Times;Serif" w:hAnsi="Times New Roman;Times;Serif"/>
                <w:sz w:val="20"/>
              </w:rPr>
              <w:t xml:space="preserve">, </w:t>
            </w:r>
            <w:hyperlink r:id="rId10">
              <w:r>
                <w:rPr>
                  <w:rStyle w:val="InternetLink"/>
                  <w:rFonts w:ascii="Times New Roman;Times;Serif" w:hAnsi="Times New Roman;Times;Serif"/>
                  <w:sz w:val="20"/>
                </w:rPr>
                <w:t>July 15, 2026</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July 20, 2026</w:t>
              </w:r>
            </w:hyperlink>
            <w:r>
              <w:rPr>
                <w:rFonts w:ascii="Times New Roman;Times;Serif" w:hAnsi="Times New Roman;Times;Serif"/>
                <w:sz w:val="20"/>
              </w:rPr>
              <w:t xml:space="preserve">, </w:t>
            </w:r>
            <w:hyperlink r:id="rId12">
              <w:r>
                <w:rPr>
                  <w:rStyle w:val="InternetLink"/>
                  <w:rFonts w:ascii="Times New Roman;Times;Serif" w:hAnsi="Times New Roman;Times;Serif"/>
                  <w:sz w:val="20"/>
                </w:rPr>
                <w:t>August 11, 2026</w:t>
              </w:r>
            </w:hyperlink>
            <w:r>
              <w:rPr>
                <w:rFonts w:ascii="Times New Roman;Times;Serif" w:hAnsi="Times New Roman;Times;Serif"/>
                <w:sz w:val="20"/>
              </w:rPr>
              <w:t xml:space="preserve">, </w:t>
            </w:r>
            <w:hyperlink r:id="rId13">
              <w:r>
                <w:rPr>
                  <w:rStyle w:val="InternetLink"/>
                  <w:rFonts w:ascii="Times New Roman;Times;Serif" w:hAnsi="Times New Roman;Times;Serif"/>
                  <w:sz w:val="20"/>
                </w:rPr>
                <w:t>August 18, 2026</w:t>
              </w:r>
            </w:hyperlink>
            <w:r>
              <w:rPr>
                <w:rFonts w:ascii="Times New Roman;Times;Serif" w:hAnsi="Times New Roman;Times;Serif"/>
                <w:sz w:val="20"/>
              </w:rPr>
              <w:t xml:space="preserve">, </w:t>
            </w:r>
            <w:hyperlink r:id="rId14">
              <w:r>
                <w:rPr>
                  <w:rStyle w:val="InternetLink"/>
                  <w:rFonts w:ascii="Times New Roman;Times;Serif" w:hAnsi="Times New Roman;Times;Serif"/>
                  <w:sz w:val="20"/>
                </w:rPr>
                <w:t>August 20, 2026</w:t>
              </w:r>
            </w:hyperlink>
            <w:r>
              <w:rPr>
                <w:rFonts w:ascii="Times New Roman;Times;Serif" w:hAnsi="Times New Roman;Times;Serif"/>
                <w:sz w:val="20"/>
              </w:rPr>
              <w:t xml:space="preserve">, </w:t>
            </w:r>
            <w:hyperlink r:id="rId15">
              <w:r>
                <w:rPr>
                  <w:rStyle w:val="InternetLink"/>
                  <w:rFonts w:ascii="Times New Roman;Times;Serif" w:hAnsi="Times New Roman;Times;Serif"/>
                  <w:sz w:val="20"/>
                </w:rPr>
                <w:t>August 25, 2026</w:t>
              </w:r>
            </w:hyperlink>
            <w:r>
              <w:rPr>
                <w:rFonts w:ascii="Times New Roman;Times;Serif" w:hAnsi="Times New Roman;Times;Serif"/>
                <w:sz w:val="20"/>
              </w:rPr>
              <w:t xml:space="preserve">, </w:t>
            </w:r>
            <w:hyperlink r:id="rId16">
              <w:r>
                <w:rPr>
                  <w:rStyle w:val="InternetLink"/>
                  <w:rFonts w:ascii="Times New Roman;Times;Serif" w:hAnsi="Times New Roman;Times;Serif"/>
                  <w:sz w:val="20"/>
                </w:rPr>
                <w:t>August 27, 2026</w:t>
              </w:r>
            </w:hyperlink>
            <w:r>
              <w:rPr>
                <w:rFonts w:ascii="Times New Roman;Times;Serif" w:hAnsi="Times New Roman;Times;Serif"/>
              </w:rPr>
              <w:t xml:space="preserve">, </w:t>
            </w:r>
            <w:hyperlink r:id="rId17">
              <w:r>
                <w:rPr>
                  <w:rStyle w:val="InternetLink"/>
                  <w:rFonts w:ascii="Times New Roman;Times;Serif" w:hAnsi="Times New Roman;Times;Serif"/>
                </w:rPr>
                <w:t>September 2, 2026</w:t>
              </w:r>
            </w:hyperlink>
            <w:r>
              <w:rPr>
                <w:rFonts w:ascii="Times New Roman;Times;Serif" w:hAnsi="Times New Roman;Times;Serif"/>
              </w:rPr>
              <w:t xml:space="preserve"> (Accession No. 0001104659-26-104754), and </w:t>
            </w:r>
            <w:hyperlink r:id="rId18">
              <w:r>
                <w:rPr>
                  <w:rStyle w:val="InternetLink"/>
                  <w:rFonts w:ascii="Times New Roman;Times;Serif" w:hAnsi="Times New Roman;Times;Serif"/>
                </w:rPr>
                <w:t>September 2, 2026</w:t>
              </w:r>
            </w:hyperlink>
            <w:r>
              <w:rPr>
                <w:rFonts w:ascii="Times New Roman;Times;Serif" w:hAnsi="Times New Roman;Times;Serif"/>
              </w:rPr>
              <w:t xml:space="preserve"> (Accession No. 0001104659-26-104779);;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hyperlink r:id="rId19">
              <w:r>
                <w:rPr>
                  <w:rStyle w:val="InternetLink"/>
                  <w:rFonts w:ascii="Times New Roman;Times;Serif" w:hAnsi="Times New Roman;Times;Serif"/>
                  <w:sz w:val="20"/>
                </w:rPr>
                <w:t>(3)</w:t>
              </w:r>
            </w:hyperlink>
          </w:p>
        </w:tc>
        <w:tc>
          <w:tcPr>
            <w:tcW w:w="9912" w:type="dxa"/>
            <w:tcBorders/>
            <w:vAlign w:val="center"/>
          </w:tcPr>
          <w:p>
            <w:pPr>
              <w:pStyle w:val="TableContents"/>
              <w:bidi w:val="0"/>
              <w:spacing w:before="0" w:after="283"/>
              <w:jc w:val="both"/>
              <w:rPr/>
            </w:pPr>
            <w:hyperlink r:id="rId20">
              <w:r>
                <w:rPr>
                  <w:rStyle w:val="InternetLink"/>
                  <w:rFonts w:ascii="Times New Roman;Times;Serif" w:hAnsi="Times New Roman;Times;Serif"/>
                  <w:sz w:val="20"/>
                </w:rPr>
                <w:t>the description of our Ordinary Shares contained in our registration statement on Form 8-A, filed with the SEC on February 1, 2021, and any amendment or report filed for the purpose of updating such description;</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future annual reports on Form 20-F filed with the SEC after the date of this prospectus and prior to the termination of the offering of the securities offered by this 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future reports of foreign private issuer on Form 6-K that we furnish to the SEC after the date of this prospectus that are identified in such reports as being incorporated by reference into the registration statement of which this prospectus forms a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2025 Annual Report contains a description of our business and audited consolidated financial statements with a report by our independent auditors. These statements were prepared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Media Group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Floor 5, Building No. 8, Xishanhui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Shijingshan District, Beijing 100041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+86-010-82088021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of the Cayman Islands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dishonesty, willful default, wilful neglect or fraud or the consequences of committing a crime. Our currently effective amended and restated articles of association provide that, to the extent permitted by Cayman Islands law, we shall indemnify each existing or former secretary, director (including alternate director), and any of our other officers (including an investment adviser or an administrator or liquidator) and their personal representatives against: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30"/>
        <w:gridCol w:w="9870"/>
      </w:tblGrid>
      <w:tr>
        <w:trPr/>
        <w:tc>
          <w:tcPr>
            <w:tcW w:w="10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w:t>
            </w:r>
          </w:p>
        </w:tc>
      </w:tr>
      <w:tr>
        <w:trPr/>
        <w:tc>
          <w:tcPr>
            <w:tcW w:w="10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 fraud, wilful default or wilful neglect.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standard of conduct is generally the same as permitted under the Delaware General Corporation Law for a Delaware corporation. In addition, we intend to enter into indemnification agreements with our directors and executive officers that will provide such persons with additional indemnification beyond that provided in our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indemnification agreements with our directors and executive officers, the form of which was filed as Exhibit 4.1 to our Form 20-F, as amended (File No. 001-42544), we have agreed to indemnify our directors and executive officers against certain liabilities and expenses incurred by such persons in connection with claims made by reason of their being such a director or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agreement entered into in connection with an offering of our securities may also provide for indemnification of us and our officers and directors in certain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maintain a directors and officers liability insurance policy for our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Index beginning on page II-4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of this item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under the Securities Act to any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for the purpose of determining liability of the registrant under the Securities Act to any purchaser in the initial distribution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0"/>
        <w:gridCol w:w="90"/>
        <w:gridCol w:w="9195"/>
      </w:tblGrid>
      <w:tr>
        <w:trPr/>
        <w:tc>
          <w:tcPr>
            <w:tcW w:w="920" w:type="dxa"/>
            <w:tcBorders>
              <w:bottom w:val="single" w:sz="8" w:space="0" w:color="000000"/>
            </w:tcBorders>
            <w:vAlign w:val="center"/>
          </w:tcPr>
          <w:p>
            <w:pPr>
              <w:pStyle w:val="TableContents"/>
              <w:bidi w:val="0"/>
              <w:spacing w:before="0" w:after="283"/>
              <w:jc w:val="left"/>
              <w:rPr>
                <w:b/>
              </w:rPr>
            </w:pPr>
            <w:r>
              <w:rPr>
                <w:b/>
              </w:rPr>
              <w:t>Exhibit</w:t>
              <w:br/>
              <w:t>Number</w:t>
            </w:r>
          </w:p>
        </w:tc>
        <w:tc>
          <w:tcPr>
            <w:tcW w:w="90" w:type="dxa"/>
            <w:tcBorders/>
            <w:tcMar>
              <w:bottom w:w="0" w:type="dxa"/>
            </w:tcMar>
            <w:vAlign w:val="center"/>
          </w:tcPr>
          <w:p>
            <w:pPr>
              <w:pStyle w:val="TableContents"/>
              <w:bidi w:val="0"/>
              <w:spacing w:before="0" w:after="283"/>
              <w:jc w:val="left"/>
              <w:rPr/>
            </w:pPr>
            <w:r>
              <w:rPr/>
              <w:t> </w:t>
            </w:r>
          </w:p>
        </w:tc>
        <w:tc>
          <w:tcPr>
            <w:tcW w:w="91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Underwriting Agreement</w:t>
            </w:r>
          </w:p>
        </w:tc>
      </w:tr>
      <w:tr>
        <w:trPr/>
        <w:tc>
          <w:tcPr>
            <w:tcW w:w="920" w:type="dxa"/>
            <w:tcBorders/>
            <w:shd w:fill="FFFFFF" w:val="clear"/>
            <w:tcMar>
              <w:bottom w:w="0" w:type="dxa"/>
            </w:tcMar>
            <w:vAlign w:val="center"/>
          </w:tcPr>
          <w:p>
            <w:pPr>
              <w:pStyle w:val="TableContents"/>
              <w:bidi w:val="0"/>
              <w:spacing w:before="0" w:after="283"/>
              <w:jc w:val="left"/>
              <w:rPr/>
            </w:pPr>
            <w:hyperlink r:id="rId21">
              <w:r>
                <w:rPr>
                  <w:rStyle w:val="InternetLink"/>
                  <w:rFonts w:ascii="Times New Roman;Times;Serif" w:hAnsi="Times New Roman;Times;Serif"/>
                  <w:sz w:val="20"/>
                </w:rPr>
                <w:t>3.1</w:t>
              </w:r>
            </w:hyperlink>
          </w:p>
        </w:tc>
        <w:tc>
          <w:tcPr>
            <w:tcW w:w="90" w:type="dxa"/>
            <w:tcBorders/>
            <w:shd w:fill="FFFFFF" w:val="clear"/>
            <w:tcMar>
              <w:bottom w:w="0" w:type="dxa"/>
            </w:tcMar>
            <w:vAlign w:val="center"/>
          </w:tcPr>
          <w:p>
            <w:pPr>
              <w:pStyle w:val="TableContents"/>
              <w:bidi w:val="0"/>
              <w:spacing w:before="0" w:after="283"/>
              <w:jc w:val="left"/>
              <w:rPr/>
            </w:pPr>
            <w:r>
              <w:rPr/>
              <w:t> </w:t>
            </w:r>
          </w:p>
        </w:tc>
        <w:tc>
          <w:tcPr>
            <w:tcW w:w="9195" w:type="dxa"/>
            <w:tcBorders/>
            <w:shd w:fill="FFFF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sz w:val="20"/>
                </w:rPr>
                <w:t>Amended and Restated Memorandum and Articles of Association of the Registrant (incorporated herein by reference to Exhibit 1.1 to our annual report on Form 20-F for the fiscal year ended December 31, 2023 (File No. 001-39977), filed with the SEC on May 15, 2024)</w:t>
              </w:r>
            </w:hyperlink>
          </w:p>
        </w:tc>
      </w:tr>
      <w:tr>
        <w:trPr/>
        <w:tc>
          <w:tcPr>
            <w:tcW w:w="920" w:type="dxa"/>
            <w:tcBorders/>
            <w:shd w:fill="CCEEFF" w:val="clear"/>
            <w:tcMar>
              <w:bottom w:w="0" w:type="dxa"/>
            </w:tcMar>
            <w:vAlign w:val="center"/>
          </w:tcPr>
          <w:p>
            <w:pPr>
              <w:pStyle w:val="TableContents"/>
              <w:bidi w:val="0"/>
              <w:spacing w:before="0" w:after="283"/>
              <w:jc w:val="left"/>
              <w:rPr/>
            </w:pPr>
            <w:hyperlink r:id="rId23">
              <w:r>
                <w:rPr>
                  <w:rStyle w:val="InternetLink"/>
                  <w:rFonts w:ascii="Times New Roman;Times;Serif" w:hAnsi="Times New Roman;Times;Serif"/>
                  <w:sz w:val="20"/>
                </w:rPr>
                <w:t>4.1</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sz w:val="20"/>
                </w:rPr>
                <w:t>Registrant’s Specimen Certificate for Ordinary Shares (incorporated herein by reference to Exhibit 2.1 to our 2022 Annual Report on Form 20-F, filed with the SEC on May 8, 2023)</w:t>
              </w:r>
            </w:hyperlink>
          </w:p>
        </w:tc>
      </w:tr>
      <w:tr>
        <w:trPr/>
        <w:tc>
          <w:tcPr>
            <w:tcW w:w="920" w:type="dxa"/>
            <w:tcBorders/>
            <w:shd w:fill="FFFFFF" w:val="clear"/>
            <w:tcMar>
              <w:bottom w:w="0" w:type="dxa"/>
            </w:tcMar>
            <w:vAlign w:val="center"/>
          </w:tcPr>
          <w:p>
            <w:pPr>
              <w:pStyle w:val="TableContents"/>
              <w:bidi w:val="0"/>
              <w:spacing w:before="0" w:after="283"/>
              <w:jc w:val="left"/>
              <w:rPr>
                <w:sz w:val="20"/>
              </w:rPr>
            </w:pPr>
            <w:r>
              <w:rPr>
                <w:sz w:val="20"/>
              </w:rPr>
              <w:t>4.2*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195" w:type="dxa"/>
            <w:tcBorders/>
            <w:shd w:fill="FFFFFF" w:val="clear"/>
            <w:tcMar>
              <w:bottom w:w="0" w:type="dxa"/>
            </w:tcMar>
            <w:vAlign w:val="center"/>
          </w:tcPr>
          <w:p>
            <w:pPr>
              <w:pStyle w:val="TableContents"/>
              <w:bidi w:val="0"/>
              <w:spacing w:before="0" w:after="283"/>
              <w:jc w:val="both"/>
              <w:rPr>
                <w:sz w:val="20"/>
              </w:rPr>
            </w:pPr>
            <w:r>
              <w:rPr>
                <w:sz w:val="20"/>
              </w:rPr>
              <w:t>Form of Debt Security</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sz w:val="20"/>
              </w:rPr>
            </w:pPr>
            <w:r>
              <w:rPr>
                <w:sz w:val="20"/>
              </w:rPr>
              <w:t>Form of Warrant Agreement and Warrant Certificate</w:t>
            </w:r>
          </w:p>
        </w:tc>
      </w:tr>
      <w:tr>
        <w:trPr/>
        <w:tc>
          <w:tcPr>
            <w:tcW w:w="920" w:type="dxa"/>
            <w:tcBorders/>
            <w:shd w:fill="FFFFFF" w:val="clear"/>
            <w:tcMar>
              <w:bottom w:w="0" w:type="dxa"/>
            </w:tcMar>
            <w:vAlign w:val="center"/>
          </w:tcPr>
          <w:p>
            <w:pPr>
              <w:pStyle w:val="TableContents"/>
              <w:bidi w:val="0"/>
              <w:spacing w:before="0" w:after="283"/>
              <w:jc w:val="left"/>
              <w:rPr>
                <w:sz w:val="20"/>
              </w:rPr>
            </w:pPr>
            <w:r>
              <w:rPr>
                <w:sz w:val="20"/>
              </w:rPr>
              <w:t>4.4*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195" w:type="dxa"/>
            <w:tcBorders/>
            <w:shd w:fill="FFFFFF" w:val="clear"/>
            <w:tcMar>
              <w:bottom w:w="0" w:type="dxa"/>
            </w:tcMar>
            <w:vAlign w:val="center"/>
          </w:tcPr>
          <w:p>
            <w:pPr>
              <w:pStyle w:val="TableContents"/>
              <w:bidi w:val="0"/>
              <w:spacing w:before="0" w:after="283"/>
              <w:jc w:val="both"/>
              <w:rPr>
                <w:sz w:val="20"/>
              </w:rPr>
            </w:pPr>
            <w:r>
              <w:rPr>
                <w:sz w:val="20"/>
              </w:rPr>
              <w:t>Form of Right Agreement and Right Certificate</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sz w:val="20"/>
              </w:rPr>
            </w:pPr>
            <w:r>
              <w:rPr>
                <w:sz w:val="20"/>
              </w:rPr>
              <w:t>Form of Unit Agreement and Unit Certificate</w:t>
            </w:r>
          </w:p>
        </w:tc>
      </w:tr>
      <w:tr>
        <w:trPr/>
        <w:tc>
          <w:tcPr>
            <w:tcW w:w="920" w:type="dxa"/>
            <w:tcBorders/>
            <w:shd w:fill="FFFFFF" w:val="clear"/>
            <w:tcMar>
              <w:bottom w:w="0" w:type="dxa"/>
            </w:tcMar>
            <w:vAlign w:val="center"/>
          </w:tcPr>
          <w:p>
            <w:pPr>
              <w:pStyle w:val="TableContents"/>
              <w:bidi w:val="0"/>
              <w:spacing w:before="0" w:after="283"/>
              <w:jc w:val="left"/>
              <w:rPr/>
            </w:pPr>
            <w:r>
              <w:rPr>
                <w:sz w:val="20"/>
              </w:rPr>
              <w:t>4.6</w:t>
            </w: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195" w:type="dxa"/>
            <w:tcBorders/>
            <w:shd w:fill="FFFFFF" w:val="clear"/>
            <w:tcMar>
              <w:bottom w:w="0" w:type="dxa"/>
            </w:tcMar>
            <w:vAlign w:val="center"/>
          </w:tcPr>
          <w:p>
            <w:pPr>
              <w:pStyle w:val="TableContents"/>
              <w:bidi w:val="0"/>
              <w:spacing w:before="0" w:after="283"/>
              <w:jc w:val="both"/>
              <w:rPr>
                <w:sz w:val="20"/>
              </w:rPr>
            </w:pPr>
            <w:r>
              <w:rPr>
                <w:sz w:val="20"/>
              </w:rPr>
              <w:t>Form of indenture with respect to senior debt securities, to be entered into between registrant and a trustee acceptable to the registrant, if any</w:t>
            </w:r>
          </w:p>
        </w:tc>
      </w:tr>
      <w:tr>
        <w:trPr/>
        <w:tc>
          <w:tcPr>
            <w:tcW w:w="920" w:type="dxa"/>
            <w:tcBorders/>
            <w:shd w:fill="CCEEFF" w:val="clear"/>
            <w:tcMar>
              <w:bottom w:w="0" w:type="dxa"/>
            </w:tcMar>
            <w:vAlign w:val="center"/>
          </w:tcPr>
          <w:p>
            <w:pPr>
              <w:pStyle w:val="TableContents"/>
              <w:bidi w:val="0"/>
              <w:spacing w:before="0" w:after="283"/>
              <w:jc w:val="left"/>
              <w:rPr/>
            </w:pPr>
            <w:r>
              <w:rPr>
                <w:sz w:val="20"/>
              </w:rPr>
              <w:t>4.7</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sz w:val="20"/>
              </w:rPr>
            </w:pPr>
            <w:r>
              <w:rPr>
                <w:sz w:val="20"/>
              </w:rPr>
              <w:t>Form of indenture with respect to subordinated debt securities, to be entered into between registrant and a trustee acceptable to the registrant, if any</w:t>
            </w:r>
          </w:p>
        </w:tc>
      </w:tr>
      <w:tr>
        <w:trPr/>
        <w:tc>
          <w:tcPr>
            <w:tcW w:w="920" w:type="dxa"/>
            <w:tcBorders/>
            <w:shd w:fill="FFFFFF" w:val="clear"/>
            <w:tcMar>
              <w:bottom w:w="0" w:type="dxa"/>
            </w:tcMar>
            <w:vAlign w:val="center"/>
          </w:tcPr>
          <w:p>
            <w:pPr>
              <w:pStyle w:val="TableContents"/>
              <w:bidi w:val="0"/>
              <w:spacing w:before="0" w:after="283"/>
              <w:jc w:val="left"/>
              <w:rPr/>
            </w:pPr>
            <w:hyperlink w:anchor="tm2624163d1_ex5-1.htm">
              <w:r>
                <w:rPr>
                  <w:rStyle w:val="InternetLink"/>
                  <w:sz w:val="20"/>
                </w:rPr>
                <w:t>5.1</w:t>
              </w:r>
            </w:hyperlink>
          </w:p>
        </w:tc>
        <w:tc>
          <w:tcPr>
            <w:tcW w:w="90" w:type="dxa"/>
            <w:tcBorders/>
            <w:shd w:fill="FFFFFF" w:val="clear"/>
            <w:tcMar>
              <w:bottom w:w="0" w:type="dxa"/>
            </w:tcMar>
            <w:vAlign w:val="center"/>
          </w:tcPr>
          <w:p>
            <w:pPr>
              <w:pStyle w:val="TableContents"/>
              <w:bidi w:val="0"/>
              <w:spacing w:before="0" w:after="283"/>
              <w:jc w:val="left"/>
              <w:rPr/>
            </w:pPr>
            <w:r>
              <w:rPr/>
              <w:t> </w:t>
            </w:r>
          </w:p>
        </w:tc>
        <w:tc>
          <w:tcPr>
            <w:tcW w:w="9195" w:type="dxa"/>
            <w:tcBorders/>
            <w:shd w:fill="FFFFFF" w:val="clear"/>
            <w:tcMar>
              <w:bottom w:w="0" w:type="dxa"/>
            </w:tcMar>
            <w:vAlign w:val="center"/>
          </w:tcPr>
          <w:p>
            <w:pPr>
              <w:pStyle w:val="TableContents"/>
              <w:bidi w:val="0"/>
              <w:spacing w:before="0" w:after="283"/>
              <w:jc w:val="both"/>
              <w:rPr/>
            </w:pPr>
            <w:hyperlink w:anchor="tm2624163d1_ex5-1.htm">
              <w:r>
                <w:rPr>
                  <w:rStyle w:val="InternetLink"/>
                  <w:sz w:val="20"/>
                </w:rPr>
                <w:t>Opinion of Appleby regarding the validity of the securities being registered</w:t>
              </w:r>
            </w:hyperlink>
          </w:p>
        </w:tc>
      </w:tr>
      <w:tr>
        <w:trPr/>
        <w:tc>
          <w:tcPr>
            <w:tcW w:w="920" w:type="dxa"/>
            <w:tcBorders/>
            <w:shd w:fill="CCEEFF" w:val="clear"/>
            <w:tcMar>
              <w:bottom w:w="0" w:type="dxa"/>
            </w:tcMar>
            <w:vAlign w:val="center"/>
          </w:tcPr>
          <w:p>
            <w:pPr>
              <w:pStyle w:val="TableContents"/>
              <w:bidi w:val="0"/>
              <w:spacing w:before="0" w:after="283"/>
              <w:jc w:val="left"/>
              <w:rPr/>
            </w:pPr>
            <w:hyperlink w:anchor="tm2624163d1_ex5-1.htm">
              <w:r>
                <w:rPr>
                  <w:rStyle w:val="InternetLink"/>
                  <w:sz w:val="20"/>
                </w:rPr>
                <w:t>8.1</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w:anchor="tm2624163d1_ex5-1.htm">
              <w:r>
                <w:rPr>
                  <w:rStyle w:val="InternetLink"/>
                  <w:sz w:val="20"/>
                </w:rPr>
                <w:t>Opinion of Appleby</w:t>
              </w:r>
            </w:hyperlink>
            <w:hyperlink w:anchor="tm2624163d1_ex5-1.htm">
              <w:r>
                <w:rPr>
                  <w:rStyle w:val="InternetLink"/>
                </w:rPr>
                <w:t xml:space="preserve"> regarding certain Cayman Islands tax matters (included in Exhibit 5.1)</w:t>
              </w:r>
            </w:hyperlink>
          </w:p>
        </w:tc>
      </w:tr>
      <w:tr>
        <w:trPr/>
        <w:tc>
          <w:tcPr>
            <w:tcW w:w="920" w:type="dxa"/>
            <w:tcBorders/>
            <w:shd w:fill="FFFFFF" w:val="clear"/>
            <w:tcMar>
              <w:bottom w:w="0" w:type="dxa"/>
            </w:tcMar>
            <w:vAlign w:val="center"/>
          </w:tcPr>
          <w:p>
            <w:pPr>
              <w:pStyle w:val="TableContents"/>
              <w:bidi w:val="0"/>
              <w:spacing w:before="0" w:after="283"/>
              <w:jc w:val="left"/>
              <w:rPr/>
            </w:pPr>
            <w:hyperlink w:anchor="tm2624163d1_ex8-2.htm">
              <w:r>
                <w:rPr>
                  <w:rStyle w:val="InternetLink"/>
                  <w:sz w:val="20"/>
                </w:rPr>
                <w:t>8.2</w:t>
              </w:r>
            </w:hyperlink>
          </w:p>
        </w:tc>
        <w:tc>
          <w:tcPr>
            <w:tcW w:w="90" w:type="dxa"/>
            <w:tcBorders/>
            <w:shd w:fill="FFFFFF" w:val="clear"/>
            <w:tcMar>
              <w:bottom w:w="0" w:type="dxa"/>
            </w:tcMar>
            <w:vAlign w:val="center"/>
          </w:tcPr>
          <w:p>
            <w:pPr>
              <w:pStyle w:val="TableContents"/>
              <w:bidi w:val="0"/>
              <w:spacing w:before="0" w:after="283"/>
              <w:jc w:val="left"/>
              <w:rPr/>
            </w:pPr>
            <w:r>
              <w:rPr/>
              <w:t> </w:t>
            </w:r>
          </w:p>
        </w:tc>
        <w:tc>
          <w:tcPr>
            <w:tcW w:w="9195" w:type="dxa"/>
            <w:tcBorders/>
            <w:shd w:fill="FFFFFF" w:val="clear"/>
            <w:tcMar>
              <w:bottom w:w="0" w:type="dxa"/>
            </w:tcMar>
            <w:vAlign w:val="center"/>
          </w:tcPr>
          <w:p>
            <w:pPr>
              <w:pStyle w:val="TableContents"/>
              <w:bidi w:val="0"/>
              <w:spacing w:before="0" w:after="283"/>
              <w:jc w:val="left"/>
              <w:rPr/>
            </w:pPr>
            <w:hyperlink w:anchor="tm2624163d1_ex8-2.htm">
              <w:r>
                <w:rPr>
                  <w:rStyle w:val="InternetLink"/>
                  <w:sz w:val="20"/>
                </w:rPr>
                <w:t>Opinion of ANLI Partners Law Offices, LLP (Tianjin) regarding certain PRC law matters</w:t>
              </w:r>
            </w:hyperlink>
          </w:p>
        </w:tc>
      </w:tr>
      <w:tr>
        <w:trPr/>
        <w:tc>
          <w:tcPr>
            <w:tcW w:w="920" w:type="dxa"/>
            <w:tcBorders/>
            <w:shd w:fill="CCEEFF" w:val="clear"/>
            <w:tcMar>
              <w:bottom w:w="0" w:type="dxa"/>
            </w:tcMar>
            <w:vAlign w:val="center"/>
          </w:tcPr>
          <w:p>
            <w:pPr>
              <w:pStyle w:val="TableContents"/>
              <w:bidi w:val="0"/>
              <w:spacing w:before="0" w:after="283"/>
              <w:jc w:val="left"/>
              <w:rPr/>
            </w:pPr>
            <w:hyperlink w:anchor="tm2624163d1_ex23-1.htm">
              <w:r>
                <w:rPr>
                  <w:rStyle w:val="InternetLink"/>
                  <w:sz w:val="20"/>
                </w:rPr>
                <w:t>23.1</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w:anchor="tm2624163d1_ex23-1.htm">
              <w:r>
                <w:rPr>
                  <w:rStyle w:val="InternetLink"/>
                  <w:sz w:val="20"/>
                </w:rPr>
                <w:t>Consent of GGF CPA LTD, an independent registered public accounting firm</w:t>
              </w:r>
            </w:hyperlink>
          </w:p>
        </w:tc>
      </w:tr>
      <w:tr>
        <w:trPr/>
        <w:tc>
          <w:tcPr>
            <w:tcW w:w="920" w:type="dxa"/>
            <w:tcBorders/>
            <w:shd w:fill="FFFFFF" w:val="clear"/>
            <w:tcMar>
              <w:bottom w:w="0" w:type="dxa"/>
            </w:tcMar>
            <w:vAlign w:val="center"/>
          </w:tcPr>
          <w:p>
            <w:pPr>
              <w:pStyle w:val="TableContents"/>
              <w:bidi w:val="0"/>
              <w:spacing w:before="0" w:after="283"/>
              <w:jc w:val="left"/>
              <w:rPr/>
            </w:pPr>
            <w:hyperlink w:anchor="tm2624163d1_ex23-2.htm">
              <w:r>
                <w:rPr>
                  <w:rStyle w:val="InternetLink"/>
                  <w:sz w:val="20"/>
                </w:rPr>
                <w:t>23.2</w:t>
              </w:r>
            </w:hyperlink>
          </w:p>
        </w:tc>
        <w:tc>
          <w:tcPr>
            <w:tcW w:w="90" w:type="dxa"/>
            <w:tcBorders/>
            <w:shd w:fill="FFFFFF" w:val="clear"/>
            <w:tcMar>
              <w:bottom w:w="0" w:type="dxa"/>
            </w:tcMar>
            <w:vAlign w:val="center"/>
          </w:tcPr>
          <w:p>
            <w:pPr>
              <w:pStyle w:val="TableContents"/>
              <w:bidi w:val="0"/>
              <w:spacing w:before="0" w:after="283"/>
              <w:jc w:val="left"/>
              <w:rPr/>
            </w:pPr>
            <w:r>
              <w:rPr/>
              <w:t> </w:t>
            </w:r>
          </w:p>
        </w:tc>
        <w:tc>
          <w:tcPr>
            <w:tcW w:w="9195" w:type="dxa"/>
            <w:tcBorders/>
            <w:shd w:fill="FFFFFF" w:val="clear"/>
            <w:tcMar>
              <w:bottom w:w="0" w:type="dxa"/>
            </w:tcMar>
            <w:vAlign w:val="center"/>
          </w:tcPr>
          <w:p>
            <w:pPr>
              <w:pStyle w:val="TableContents"/>
              <w:bidi w:val="0"/>
              <w:spacing w:before="0" w:after="283"/>
              <w:jc w:val="both"/>
              <w:rPr/>
            </w:pPr>
            <w:hyperlink w:anchor="tm2624163d1_ex23-2.htm">
              <w:r>
                <w:rPr>
                  <w:rStyle w:val="InternetLink"/>
                  <w:sz w:val="20"/>
                </w:rPr>
                <w:t>Consent of YCM CPA INC., an independent registered public accounting firm</w:t>
              </w:r>
            </w:hyperlink>
          </w:p>
        </w:tc>
      </w:tr>
      <w:tr>
        <w:trPr/>
        <w:tc>
          <w:tcPr>
            <w:tcW w:w="920" w:type="dxa"/>
            <w:tcBorders/>
            <w:shd w:fill="CCEEFF" w:val="clear"/>
            <w:tcMar>
              <w:bottom w:w="0" w:type="dxa"/>
            </w:tcMar>
            <w:vAlign w:val="center"/>
          </w:tcPr>
          <w:p>
            <w:pPr>
              <w:pStyle w:val="TableContents"/>
              <w:bidi w:val="0"/>
              <w:spacing w:before="0" w:after="283"/>
              <w:jc w:val="left"/>
              <w:rPr/>
            </w:pPr>
            <w:hyperlink w:anchor="tm2624163d1_ex5-1.htm">
              <w:r>
                <w:rPr>
                  <w:rStyle w:val="InternetLink"/>
                  <w:sz w:val="20"/>
                </w:rPr>
                <w:t>23.3</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w:anchor="tm2624163d1_ex5-1.htm">
              <w:r>
                <w:rPr>
                  <w:rStyle w:val="InternetLink"/>
                  <w:sz w:val="20"/>
                </w:rPr>
                <w:t xml:space="preserve">Consent of Appleby </w:t>
              </w:r>
            </w:hyperlink>
            <w:hyperlink w:anchor="tm2624163d1_ex5-1.htm">
              <w:r>
                <w:rPr>
                  <w:rStyle w:val="InternetLink"/>
                </w:rPr>
                <w:t>(included in Exhibit 5.1)</w:t>
              </w:r>
            </w:hyperlink>
          </w:p>
        </w:tc>
      </w:tr>
      <w:tr>
        <w:trPr/>
        <w:tc>
          <w:tcPr>
            <w:tcW w:w="920" w:type="dxa"/>
            <w:tcBorders/>
            <w:shd w:fill="FFFFFF" w:val="clear"/>
            <w:tcMar>
              <w:bottom w:w="0" w:type="dxa"/>
            </w:tcMar>
            <w:vAlign w:val="center"/>
          </w:tcPr>
          <w:p>
            <w:pPr>
              <w:pStyle w:val="TableContents"/>
              <w:bidi w:val="0"/>
              <w:spacing w:before="0" w:after="283"/>
              <w:jc w:val="left"/>
              <w:rPr/>
            </w:pPr>
            <w:hyperlink w:anchor="tm2624163d1_ex8-2.htm">
              <w:r>
                <w:rPr>
                  <w:rStyle w:val="InternetLink"/>
                  <w:sz w:val="20"/>
                </w:rPr>
                <w:t>23.4</w:t>
              </w:r>
            </w:hyperlink>
          </w:p>
        </w:tc>
        <w:tc>
          <w:tcPr>
            <w:tcW w:w="90" w:type="dxa"/>
            <w:tcBorders/>
            <w:shd w:fill="FFFFFF" w:val="clear"/>
            <w:tcMar>
              <w:bottom w:w="0" w:type="dxa"/>
            </w:tcMar>
            <w:vAlign w:val="center"/>
          </w:tcPr>
          <w:p>
            <w:pPr>
              <w:pStyle w:val="TableContents"/>
              <w:bidi w:val="0"/>
              <w:spacing w:before="0" w:after="283"/>
              <w:jc w:val="left"/>
              <w:rPr/>
            </w:pPr>
            <w:r>
              <w:rPr/>
              <w:t> </w:t>
            </w:r>
          </w:p>
        </w:tc>
        <w:tc>
          <w:tcPr>
            <w:tcW w:w="9195" w:type="dxa"/>
            <w:tcBorders/>
            <w:shd w:fill="FFFFFF" w:val="clear"/>
            <w:tcMar>
              <w:bottom w:w="0" w:type="dxa"/>
            </w:tcMar>
            <w:vAlign w:val="center"/>
          </w:tcPr>
          <w:p>
            <w:pPr>
              <w:pStyle w:val="TableContents"/>
              <w:bidi w:val="0"/>
              <w:spacing w:before="0" w:after="283"/>
              <w:jc w:val="both"/>
              <w:rPr/>
            </w:pPr>
            <w:hyperlink w:anchor="tm2624163d1_ex8-2.htm">
              <w:r>
                <w:rPr>
                  <w:rStyle w:val="InternetLink"/>
                  <w:sz w:val="20"/>
                </w:rPr>
                <w:t>Consent of ANLI Partners Law Offices, LLP (Tianjin) (included in Exhibit 8.2)</w:t>
              </w:r>
            </w:hyperlink>
          </w:p>
        </w:tc>
      </w:tr>
      <w:tr>
        <w:trPr/>
        <w:tc>
          <w:tcPr>
            <w:tcW w:w="920" w:type="dxa"/>
            <w:tcBorders/>
            <w:shd w:fill="CCEEFF" w:val="clear"/>
            <w:tcMar>
              <w:bottom w:w="0" w:type="dxa"/>
            </w:tcMar>
            <w:vAlign w:val="center"/>
          </w:tcPr>
          <w:p>
            <w:pPr>
              <w:pStyle w:val="TableContents"/>
              <w:bidi w:val="0"/>
              <w:spacing w:before="0" w:after="283"/>
              <w:jc w:val="left"/>
              <w:rPr/>
            </w:pPr>
            <w:hyperlink w:anchor="sp1a_007">
              <w:r>
                <w:rPr>
                  <w:rStyle w:val="InternetLink"/>
                  <w:rFonts w:ascii="Times New Roman;Times;Serif" w:hAnsi="Times New Roman;Times;Serif"/>
                  <w:sz w:val="20"/>
                </w:rPr>
                <w:t>24.1</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hyperlink w:anchor="sp1a_007">
              <w:r>
                <w:rPr>
                  <w:rStyle w:val="InternetLink"/>
                  <w:rFonts w:ascii="Times New Roman;Times;Serif" w:hAnsi="Times New Roman;Times;Serif"/>
                  <w:sz w:val="20"/>
                </w:rPr>
                <w:t>Power of attorney (included on signature page hereof)</w:t>
              </w:r>
            </w:hyperlink>
          </w:p>
        </w:tc>
      </w:tr>
      <w:tr>
        <w:trPr/>
        <w:tc>
          <w:tcPr>
            <w:tcW w:w="920" w:type="dxa"/>
            <w:tcBorders/>
            <w:shd w:fill="FFFFFF" w:val="clear"/>
            <w:tcMar>
              <w:bottom w:w="0" w:type="dxa"/>
            </w:tcMar>
            <w:vAlign w:val="center"/>
          </w:tcPr>
          <w:p>
            <w:pPr>
              <w:pStyle w:val="TableContents"/>
              <w:bidi w:val="0"/>
              <w:spacing w:before="0" w:after="283"/>
              <w:jc w:val="left"/>
              <w:rPr>
                <w:sz w:val="20"/>
              </w:rPr>
            </w:pPr>
            <w:r>
              <w:rPr>
                <w:sz w:val="20"/>
              </w:rPr>
              <w:t>25.1**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195" w:type="dxa"/>
            <w:tcBorders/>
            <w:shd w:fill="FFFFFF" w:val="clear"/>
            <w:tcMar>
              <w:bottom w:w="0" w:type="dxa"/>
            </w:tcMar>
            <w:vAlign w:val="center"/>
          </w:tcPr>
          <w:p>
            <w:pPr>
              <w:pStyle w:val="TableContents"/>
              <w:bidi w:val="0"/>
              <w:spacing w:before="0" w:after="283"/>
              <w:jc w:val="both"/>
              <w:rPr>
                <w:sz w:val="20"/>
              </w:rPr>
            </w:pPr>
            <w:r>
              <w:rPr>
                <w:sz w:val="20"/>
              </w:rPr>
              <w:t>Form T-1 Statement of Eligibility under the Trust Indenture Act of 1939 of the Trustee under the Senior Debt Securities Indenture</w:t>
            </w:r>
          </w:p>
        </w:tc>
      </w:tr>
      <w:tr>
        <w:trPr/>
        <w:tc>
          <w:tcPr>
            <w:tcW w:w="920" w:type="dxa"/>
            <w:tcBorders/>
            <w:shd w:fill="CCEEFF" w:val="clear"/>
            <w:tcMar>
              <w:bottom w:w="0" w:type="dxa"/>
            </w:tcMar>
            <w:vAlign w:val="center"/>
          </w:tcPr>
          <w:p>
            <w:pPr>
              <w:pStyle w:val="TableContents"/>
              <w:bidi w:val="0"/>
              <w:spacing w:before="0" w:after="283"/>
              <w:jc w:val="left"/>
              <w:rPr/>
            </w:pPr>
            <w:r>
              <w:rPr/>
              <w:t>25.2**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95" w:type="dxa"/>
            <w:tcBorders/>
            <w:shd w:fill="CCEEFF" w:val="clear"/>
            <w:tcMar>
              <w:bottom w:w="0" w:type="dxa"/>
            </w:tcMar>
            <w:vAlign w:val="center"/>
          </w:tcPr>
          <w:p>
            <w:pPr>
              <w:pStyle w:val="TableContents"/>
              <w:bidi w:val="0"/>
              <w:spacing w:before="0" w:after="283"/>
              <w:jc w:val="both"/>
              <w:rPr/>
            </w:pPr>
            <w:r>
              <w:rPr/>
              <w:t>Form T-1 Statement of Eligibility under the Trust Indenture Act of 1939 of the Trustee under the Subordinated Debt Securities Indenture</w:t>
            </w:r>
          </w:p>
        </w:tc>
      </w:tr>
      <w:tr>
        <w:trPr/>
        <w:tc>
          <w:tcPr>
            <w:tcW w:w="920" w:type="dxa"/>
            <w:tcBorders/>
            <w:shd w:fill="FFFFFF" w:val="clear"/>
            <w:tcMar>
              <w:bottom w:w="0" w:type="dxa"/>
            </w:tcMar>
            <w:vAlign w:val="center"/>
          </w:tcPr>
          <w:p>
            <w:pPr>
              <w:pStyle w:val="TableContents"/>
              <w:bidi w:val="0"/>
              <w:spacing w:before="0" w:after="283"/>
              <w:jc w:val="left"/>
              <w:rPr/>
            </w:pPr>
            <w:hyperlink w:anchor="tm2624163d1_ex-filingfees.htm">
              <w:r>
                <w:rPr>
                  <w:rStyle w:val="InternetLink"/>
                  <w:rFonts w:ascii="Times New Roman;Times;Serif" w:hAnsi="Times New Roman;Times;Serif"/>
                  <w:sz w:val="20"/>
                </w:rPr>
                <w:t>107</w:t>
              </w:r>
            </w:hyperlink>
          </w:p>
        </w:tc>
        <w:tc>
          <w:tcPr>
            <w:tcW w:w="90" w:type="dxa"/>
            <w:tcBorders/>
            <w:shd w:fill="FFFFFF" w:val="clear"/>
            <w:tcMar>
              <w:bottom w:w="0" w:type="dxa"/>
            </w:tcMar>
            <w:vAlign w:val="center"/>
          </w:tcPr>
          <w:p>
            <w:pPr>
              <w:pStyle w:val="TableContents"/>
              <w:bidi w:val="0"/>
              <w:spacing w:before="0" w:after="283"/>
              <w:jc w:val="left"/>
              <w:rPr/>
            </w:pPr>
            <w:r>
              <w:rPr/>
              <w:t> </w:t>
            </w:r>
          </w:p>
        </w:tc>
        <w:tc>
          <w:tcPr>
            <w:tcW w:w="9195" w:type="dxa"/>
            <w:tcBorders/>
            <w:shd w:fill="FFFFFF" w:val="clear"/>
            <w:tcMar>
              <w:bottom w:w="0" w:type="dxa"/>
            </w:tcMar>
            <w:vAlign w:val="center"/>
          </w:tcPr>
          <w:p>
            <w:pPr>
              <w:pStyle w:val="TableContents"/>
              <w:bidi w:val="0"/>
              <w:spacing w:before="0" w:after="283"/>
              <w:jc w:val="both"/>
              <w:rPr/>
            </w:pPr>
            <w:hyperlink w:anchor="tm2624163d1_ex-filingfees.htm">
              <w:r>
                <w:rPr>
                  <w:rStyle w:val="InternetLink"/>
                  <w:rFonts w:ascii="Times New Roman;Times;Serif" w:hAnsi="Times New Roman;Times;Serif"/>
                  <w:sz w:val="20"/>
                </w:rPr>
                <w:t>Calculation of Filing Fee Table</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if applicable, by amendment or as an exhibit to a report filed pursuant to Section 13(a) or 15(d) of the Securities Exchange Act of 1934, as amended, and incorporated herein by reference.</w:t>
            </w:r>
          </w:p>
        </w:tc>
      </w:tr>
      <w:tr>
        <w:trPr/>
        <w:tc>
          <w:tcPr>
            <w:tcW w:w="232" w:type="dxa"/>
            <w:tcBorders/>
            <w:vAlign w:val="center"/>
          </w:tcPr>
          <w:p>
            <w:pPr>
              <w:pStyle w:val="TableContents"/>
              <w:bidi w:val="0"/>
              <w:spacing w:before="0" w:after="283"/>
              <w:jc w:val="left"/>
              <w:rPr/>
            </w:pPr>
            <w:r>
              <w:rPr/>
              <w:t> </w:t>
            </w:r>
          </w:p>
        </w:tc>
        <w:tc>
          <w:tcPr>
            <w:tcW w:w="9973" w:type="dxa"/>
            <w:tcBorders/>
            <w:vAlign w:val="center"/>
          </w:tcPr>
          <w:p>
            <w:pPr>
              <w:pStyle w:val="TableContents"/>
              <w:bidi w:val="0"/>
              <w:spacing w:before="0" w:after="283"/>
              <w:ind w:left="0" w:right="0" w:hanging="599"/>
              <w:jc w:val="both"/>
              <w:rPr/>
            </w:pPr>
            <w:r>
              <w:rPr/>
              <w:t> </w:t>
            </w:r>
          </w:p>
        </w:tc>
      </w:tr>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if necessary, on electronic Form 305b2 pursuant to Section 305(b)(2) of the Trust Indenture Act of 1939.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sp1a_007"/>
      <w:bookmarkEnd w:id="25"/>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the City of Beijing, China on September 3, 2026.</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105"/>
        <w:gridCol w:w="620"/>
        <w:gridCol w:w="4490"/>
      </w:tblGrid>
      <w:tr>
        <w:trPr/>
        <w:tc>
          <w:tcPr>
            <w:tcW w:w="105" w:type="dxa"/>
            <w:tcBorders/>
            <w:vAlign w:val="center"/>
          </w:tcPr>
          <w:p>
            <w:pPr>
              <w:pStyle w:val="TableContents"/>
              <w:bidi w:val="0"/>
              <w:spacing w:before="0" w:after="283"/>
              <w:jc w:val="left"/>
              <w:rPr/>
            </w:pPr>
            <w:r>
              <w:rPr/>
              <w:t> </w:t>
            </w:r>
          </w:p>
        </w:tc>
        <w:tc>
          <w:tcPr>
            <w:tcW w:w="51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Baosheng Media Group Holdings Limited</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Lina Jiang</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Lina Jiang</w:t>
            </w:r>
          </w:p>
        </w:tc>
      </w:tr>
      <w:tr>
        <w:trPr/>
        <w:tc>
          <w:tcPr>
            <w:tcW w:w="10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Chairwoman of the Board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each of Lina Jiang as his true and lawful attorneys-in-fact and agents, with full power of substitution and re-substitution, for him and in his name, place and stead, in any and all capacities, to sign any and all amendments (including post-effective amendments) to this registration statement and sign any registration statement for the same offering covered by this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each such person might or could do in person, hereby ratifying and confirming all that said attorneys-in-fact and agents, or any of them, or their or his substitutes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registration statement has been signed by the following persons on September 3, 2026 in the capacities indicated.</w:t>
      </w:r>
    </w:p>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28" w:type="dxa"/>
          <w:right w:w="0" w:type="dxa"/>
        </w:tblCellMar>
      </w:tblPr>
      <w:tblGrid>
        <w:gridCol w:w="1535"/>
        <w:gridCol w:w="90"/>
        <w:gridCol w:w="4490"/>
      </w:tblGrid>
      <w:tr>
        <w:trPr/>
        <w:tc>
          <w:tcPr>
            <w:tcW w:w="1535" w:type="dxa"/>
            <w:tcBorders>
              <w:bottom w:val="single" w:sz="8" w:space="0" w:color="000000"/>
            </w:tcBorders>
            <w:vAlign w:val="center"/>
          </w:tcPr>
          <w:p>
            <w:pPr>
              <w:pStyle w:val="TableContents"/>
              <w:bidi w:val="0"/>
              <w:spacing w:before="0" w:after="283"/>
              <w:jc w:val="center"/>
              <w:rPr>
                <w:b/>
                <w:sz w:val="20"/>
              </w:rPr>
            </w:pPr>
            <w:r>
              <w:rPr>
                <w:b/>
                <w:sz w:val="20"/>
              </w:rPr>
              <w:t>Signature</w:t>
            </w:r>
          </w:p>
        </w:tc>
        <w:tc>
          <w:tcPr>
            <w:tcW w:w="90" w:type="dxa"/>
            <w:tcBorders/>
            <w:tcMar>
              <w:bottom w:w="0" w:type="dxa"/>
            </w:tcMar>
            <w:vAlign w:val="center"/>
          </w:tcPr>
          <w:p>
            <w:pPr>
              <w:pStyle w:val="TableContents"/>
              <w:bidi w:val="0"/>
              <w:spacing w:before="0" w:after="283"/>
              <w:jc w:val="left"/>
              <w:rPr/>
            </w:pPr>
            <w:r>
              <w:rPr/>
              <w:t> </w:t>
            </w:r>
          </w:p>
        </w:tc>
        <w:tc>
          <w:tcPr>
            <w:tcW w:w="4490" w:type="dxa"/>
            <w:tcBorders>
              <w:bottom w:val="single" w:sz="8" w:space="0" w:color="000000"/>
            </w:tcBorders>
            <w:vAlign w:val="center"/>
          </w:tcPr>
          <w:p>
            <w:pPr>
              <w:pStyle w:val="TableContents"/>
              <w:bidi w:val="0"/>
              <w:spacing w:before="0" w:after="283"/>
              <w:jc w:val="center"/>
              <w:rPr>
                <w:b/>
                <w:sz w:val="20"/>
              </w:rPr>
            </w:pPr>
            <w:r>
              <w:rPr>
                <w:b/>
                <w:sz w:val="20"/>
              </w:rPr>
              <w:t>Title</w:t>
            </w:r>
          </w:p>
        </w:tc>
      </w:tr>
      <w:tr>
        <w:trPr/>
        <w:tc>
          <w:tcPr>
            <w:tcW w:w="15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r>
      <w:tr>
        <w:trPr/>
        <w:tc>
          <w:tcPr>
            <w:tcW w:w="1535" w:type="dxa"/>
            <w:tcBorders>
              <w:bottom w:val="single" w:sz="8" w:space="0" w:color="000000"/>
            </w:tcBorders>
            <w:vAlign w:val="center"/>
          </w:tcPr>
          <w:p>
            <w:pPr>
              <w:pStyle w:val="TableContents"/>
              <w:bidi w:val="0"/>
              <w:spacing w:before="0" w:after="283"/>
              <w:jc w:val="center"/>
              <w:rPr>
                <w:i/>
                <w:sz w:val="20"/>
              </w:rPr>
            </w:pPr>
            <w:r>
              <w:rPr>
                <w:i/>
                <w:sz w:val="20"/>
              </w:rPr>
              <w:t>/s/ Lina Jiang</w:t>
            </w:r>
          </w:p>
        </w:tc>
        <w:tc>
          <w:tcPr>
            <w:tcW w:w="9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sz w:val="20"/>
              </w:rPr>
            </w:pPr>
            <w:r>
              <w:rPr>
                <w:sz w:val="20"/>
              </w:rPr>
              <w:t>Chairwoman of the Board and Chief Executive Officer</w:t>
            </w:r>
          </w:p>
        </w:tc>
      </w:tr>
      <w:tr>
        <w:trPr/>
        <w:tc>
          <w:tcPr>
            <w:tcW w:w="1535" w:type="dxa"/>
            <w:tcBorders/>
            <w:tcMar>
              <w:bottom w:w="0" w:type="dxa"/>
            </w:tcMar>
            <w:vAlign w:val="center"/>
          </w:tcPr>
          <w:p>
            <w:pPr>
              <w:pStyle w:val="TableContents"/>
              <w:bidi w:val="0"/>
              <w:spacing w:before="0" w:after="283"/>
              <w:jc w:val="center"/>
              <w:rPr>
                <w:sz w:val="20"/>
              </w:rPr>
            </w:pPr>
            <w:r>
              <w:rPr>
                <w:sz w:val="20"/>
              </w:rPr>
              <w:t>Lina Jiang</w:t>
            </w:r>
          </w:p>
        </w:tc>
        <w:tc>
          <w:tcPr>
            <w:tcW w:w="9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sz w:val="20"/>
              </w:rPr>
            </w:pPr>
            <w:r>
              <w:rPr>
                <w:sz w:val="20"/>
              </w:rPr>
              <w:t>(Principal Executive Officer)</w:t>
            </w:r>
          </w:p>
        </w:tc>
      </w:tr>
      <w:tr>
        <w:trPr/>
        <w:tc>
          <w:tcPr>
            <w:tcW w:w="15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r>
      <w:tr>
        <w:trPr/>
        <w:tc>
          <w:tcPr>
            <w:tcW w:w="1535" w:type="dxa"/>
            <w:tcBorders>
              <w:bottom w:val="single" w:sz="8" w:space="0" w:color="000000"/>
            </w:tcBorders>
            <w:vAlign w:val="center"/>
          </w:tcPr>
          <w:p>
            <w:pPr>
              <w:pStyle w:val="TableContents"/>
              <w:bidi w:val="0"/>
              <w:spacing w:before="0" w:after="283"/>
              <w:jc w:val="center"/>
              <w:rPr>
                <w:i/>
                <w:sz w:val="20"/>
              </w:rPr>
            </w:pPr>
            <w:r>
              <w:rPr>
                <w:i/>
                <w:sz w:val="20"/>
              </w:rPr>
              <w:t>/s/ Chenfang Zhai</w:t>
            </w:r>
          </w:p>
        </w:tc>
        <w:tc>
          <w:tcPr>
            <w:tcW w:w="9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sz w:val="20"/>
              </w:rPr>
            </w:pPr>
            <w:r>
              <w:rPr>
                <w:sz w:val="20"/>
              </w:rPr>
              <w:t>Chief Financial Officer</w:t>
            </w:r>
          </w:p>
        </w:tc>
      </w:tr>
      <w:tr>
        <w:trPr/>
        <w:tc>
          <w:tcPr>
            <w:tcW w:w="1535" w:type="dxa"/>
            <w:tcBorders/>
            <w:tcMar>
              <w:bottom w:w="0" w:type="dxa"/>
            </w:tcMar>
            <w:vAlign w:val="center"/>
          </w:tcPr>
          <w:p>
            <w:pPr>
              <w:pStyle w:val="TableContents"/>
              <w:bidi w:val="0"/>
              <w:spacing w:before="0" w:after="283"/>
              <w:jc w:val="center"/>
              <w:rPr>
                <w:sz w:val="20"/>
              </w:rPr>
            </w:pPr>
            <w:r>
              <w:rPr>
                <w:sz w:val="20"/>
              </w:rPr>
              <w:t>Chenfang Zhai</w:t>
            </w:r>
          </w:p>
        </w:tc>
        <w:tc>
          <w:tcPr>
            <w:tcW w:w="9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sz w:val="20"/>
              </w:rPr>
            </w:pPr>
            <w:r>
              <w:rPr>
                <w:sz w:val="20"/>
              </w:rPr>
              <w:t>(Principal Accounting and Financial Officer)</w:t>
            </w:r>
          </w:p>
        </w:tc>
      </w:tr>
      <w:tr>
        <w:trPr/>
        <w:tc>
          <w:tcPr>
            <w:tcW w:w="15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r>
      <w:tr>
        <w:trPr/>
        <w:tc>
          <w:tcPr>
            <w:tcW w:w="1535" w:type="dxa"/>
            <w:tcBorders>
              <w:bottom w:val="single" w:sz="8" w:space="0" w:color="000000"/>
            </w:tcBorders>
            <w:vAlign w:val="center"/>
          </w:tcPr>
          <w:p>
            <w:pPr>
              <w:pStyle w:val="TableContents"/>
              <w:bidi w:val="0"/>
              <w:spacing w:before="0" w:after="283"/>
              <w:jc w:val="center"/>
              <w:rPr>
                <w:i/>
                <w:sz w:val="20"/>
              </w:rPr>
            </w:pPr>
            <w:r>
              <w:rPr>
                <w:i/>
                <w:sz w:val="20"/>
              </w:rPr>
              <w:t>/s/ Lei Cai</w:t>
            </w:r>
          </w:p>
        </w:tc>
        <w:tc>
          <w:tcPr>
            <w:tcW w:w="9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sz w:val="20"/>
              </w:rPr>
            </w:pPr>
            <w:r>
              <w:rPr>
                <w:sz w:val="20"/>
              </w:rPr>
              <w:t xml:space="preserve">Director </w:t>
            </w:r>
          </w:p>
        </w:tc>
      </w:tr>
      <w:tr>
        <w:trPr/>
        <w:tc>
          <w:tcPr>
            <w:tcW w:w="1535" w:type="dxa"/>
            <w:tcBorders/>
            <w:tcMar>
              <w:bottom w:w="0" w:type="dxa"/>
            </w:tcMar>
            <w:vAlign w:val="center"/>
          </w:tcPr>
          <w:p>
            <w:pPr>
              <w:pStyle w:val="TableContents"/>
              <w:bidi w:val="0"/>
              <w:spacing w:before="0" w:after="283"/>
              <w:jc w:val="center"/>
              <w:rPr>
                <w:sz w:val="20"/>
              </w:rPr>
            </w:pPr>
            <w:r>
              <w:rPr>
                <w:sz w:val="20"/>
              </w:rPr>
              <w:t>Lei Cai</w:t>
            </w:r>
          </w:p>
        </w:tc>
        <w:tc>
          <w:tcPr>
            <w:tcW w:w="9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r>
      <w:tr>
        <w:trPr/>
        <w:tc>
          <w:tcPr>
            <w:tcW w:w="15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r>
      <w:tr>
        <w:trPr/>
        <w:tc>
          <w:tcPr>
            <w:tcW w:w="1535" w:type="dxa"/>
            <w:tcBorders>
              <w:bottom w:val="single" w:sz="8" w:space="0" w:color="000000"/>
            </w:tcBorders>
            <w:vAlign w:val="center"/>
          </w:tcPr>
          <w:p>
            <w:pPr>
              <w:pStyle w:val="TableContents"/>
              <w:bidi w:val="0"/>
              <w:spacing w:before="0" w:after="283"/>
              <w:jc w:val="center"/>
              <w:rPr>
                <w:i/>
                <w:sz w:val="20"/>
              </w:rPr>
            </w:pPr>
            <w:r>
              <w:rPr>
                <w:i/>
                <w:sz w:val="20"/>
              </w:rPr>
              <w:t>/s/ Jian Zhang</w:t>
            </w:r>
          </w:p>
        </w:tc>
        <w:tc>
          <w:tcPr>
            <w:tcW w:w="9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sz w:val="20"/>
              </w:rPr>
            </w:pPr>
            <w:r>
              <w:rPr>
                <w:sz w:val="20"/>
              </w:rPr>
              <w:t>Director</w:t>
            </w:r>
          </w:p>
        </w:tc>
      </w:tr>
      <w:tr>
        <w:trPr/>
        <w:tc>
          <w:tcPr>
            <w:tcW w:w="1535" w:type="dxa"/>
            <w:tcBorders/>
            <w:tcMar>
              <w:bottom w:w="0" w:type="dxa"/>
            </w:tcMar>
            <w:vAlign w:val="center"/>
          </w:tcPr>
          <w:p>
            <w:pPr>
              <w:pStyle w:val="TableContents"/>
              <w:bidi w:val="0"/>
              <w:spacing w:before="0" w:after="283"/>
              <w:jc w:val="center"/>
              <w:rPr>
                <w:sz w:val="20"/>
              </w:rPr>
            </w:pPr>
            <w:r>
              <w:rPr>
                <w:sz w:val="20"/>
              </w:rPr>
              <w:t>Jian Zhang</w:t>
            </w:r>
          </w:p>
        </w:tc>
        <w:tc>
          <w:tcPr>
            <w:tcW w:w="9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r>
      <w:tr>
        <w:trPr/>
        <w:tc>
          <w:tcPr>
            <w:tcW w:w="15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r>
      <w:tr>
        <w:trPr/>
        <w:tc>
          <w:tcPr>
            <w:tcW w:w="15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r>
      <w:tr>
        <w:trPr/>
        <w:tc>
          <w:tcPr>
            <w:tcW w:w="1535" w:type="dxa"/>
            <w:tcBorders>
              <w:bottom w:val="single" w:sz="8" w:space="0" w:color="000000"/>
            </w:tcBorders>
            <w:vAlign w:val="center"/>
          </w:tcPr>
          <w:p>
            <w:pPr>
              <w:pStyle w:val="TableContents"/>
              <w:bidi w:val="0"/>
              <w:spacing w:before="0" w:after="283"/>
              <w:jc w:val="center"/>
              <w:rPr>
                <w:i/>
                <w:sz w:val="20"/>
              </w:rPr>
            </w:pPr>
            <w:r>
              <w:rPr>
                <w:i/>
                <w:sz w:val="20"/>
              </w:rPr>
              <w:t>/s/ Chenxi Fang</w:t>
            </w:r>
          </w:p>
        </w:tc>
        <w:tc>
          <w:tcPr>
            <w:tcW w:w="9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sz w:val="20"/>
              </w:rPr>
            </w:pPr>
            <w:r>
              <w:rPr>
                <w:sz w:val="20"/>
              </w:rPr>
              <w:t>Independent Director</w:t>
            </w:r>
          </w:p>
        </w:tc>
      </w:tr>
      <w:tr>
        <w:trPr/>
        <w:tc>
          <w:tcPr>
            <w:tcW w:w="1535" w:type="dxa"/>
            <w:tcBorders/>
            <w:tcMar>
              <w:bottom w:w="0" w:type="dxa"/>
            </w:tcMar>
            <w:vAlign w:val="center"/>
          </w:tcPr>
          <w:p>
            <w:pPr>
              <w:pStyle w:val="TableContents"/>
              <w:bidi w:val="0"/>
              <w:spacing w:before="0" w:after="283"/>
              <w:jc w:val="center"/>
              <w:rPr>
                <w:sz w:val="20"/>
              </w:rPr>
            </w:pPr>
            <w:r>
              <w:rPr>
                <w:sz w:val="20"/>
              </w:rPr>
              <w:t>Chenxi Fang</w:t>
            </w:r>
          </w:p>
        </w:tc>
        <w:tc>
          <w:tcPr>
            <w:tcW w:w="9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OF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Baosheng Media Group Holdings Limited has signed this registration statement or amendment thereto in Newark, Delaware on September 3, 2026.</w:t>
      </w:r>
    </w:p>
    <w:p>
      <w:pPr>
        <w:pStyle w:val="TextBody"/>
        <w:bidi w:val="0"/>
        <w:spacing w:before="0" w:after="0"/>
        <w:ind w:left="0" w:right="0" w:hanging="0"/>
        <w:jc w:val="left"/>
        <w:rPr>
          <w:caps w:val="false"/>
          <w:smallCaps w:val="false"/>
        </w:rPr>
      </w:pPr>
      <w:r>
        <w:rPr>
          <w:caps w:val="false"/>
          <w:smallCaps w:val="false"/>
        </w:rPr>
        <w:t> </w:t>
      </w:r>
    </w:p>
    <w:tbl>
      <w:tblPr>
        <w:tblW w:w="2749" w:type="dxa"/>
        <w:jc w:val="left"/>
        <w:tblInd w:w="0" w:type="dxa"/>
        <w:tblLayout w:type="fixed"/>
        <w:tblCellMar>
          <w:top w:w="0" w:type="dxa"/>
          <w:left w:w="0" w:type="dxa"/>
          <w:bottom w:w="0" w:type="dxa"/>
          <w:right w:w="0" w:type="dxa"/>
        </w:tblCellMar>
      </w:tblPr>
      <w:tblGrid>
        <w:gridCol w:w="105"/>
        <w:gridCol w:w="651"/>
        <w:gridCol w:w="1993"/>
      </w:tblGrid>
      <w:tr>
        <w:trPr/>
        <w:tc>
          <w:tcPr>
            <w:tcW w:w="10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U.S. Representative</w:t>
            </w:r>
          </w:p>
        </w:tc>
      </w:tr>
      <w:tr>
        <w:trPr/>
        <w:tc>
          <w:tcPr>
            <w:tcW w:w="10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Puglisi &amp; Associates</w:t>
            </w:r>
          </w:p>
        </w:tc>
      </w:tr>
      <w:tr>
        <w:trPr/>
        <w:tc>
          <w:tcPr>
            <w:tcW w:w="10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 </w:t>
            </w:r>
          </w:p>
        </w:tc>
        <w:tc>
          <w:tcPr>
            <w:tcW w:w="1993"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9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Donald J. Puglisi</w:t>
            </w:r>
          </w:p>
        </w:tc>
      </w:tr>
      <w:tr>
        <w:trPr/>
        <w:tc>
          <w:tcPr>
            <w:tcW w:w="10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Donald J. Puglisi</w:t>
            </w:r>
          </w:p>
        </w:tc>
      </w:tr>
      <w:tr>
        <w:trPr/>
        <w:tc>
          <w:tcPr>
            <w:tcW w:w="10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6" w:name="tm2624163d1_ex5-1.htm"/>
      <w:bookmarkStart w:id="27" w:name="kstm2624163d1_ex51"/>
      <w:bookmarkEnd w:id="26"/>
      <w:bookmarkEnd w:id="27"/>
      <w:r>
        <w:rPr/>
        <w:t> </w:t>
      </w:r>
      <w:r>
        <w:br w:type="page"/>
      </w:r>
    </w:p>
    <w:p>
      <w:pPr>
        <w:pStyle w:val="TextBody"/>
        <w:bidi w:val="0"/>
        <w:jc w:val="right"/>
        <w:rPr>
          <w:b/>
        </w:rPr>
      </w:pPr>
      <w:r>
        <w:rPr>
          <w:b/>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2095500" cy="257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5"/>
                    <a:stretch>
                      <a:fillRect/>
                    </a:stretch>
                  </pic:blipFill>
                  <pic:spPr bwMode="auto">
                    <a:xfrm>
                      <a:off x="0" y="0"/>
                      <a:ext cx="2095500" cy="2571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992"/>
        <w:gridCol w:w="3138"/>
      </w:tblGrid>
      <w:tr>
        <w:trPr/>
        <w:tc>
          <w:tcPr>
            <w:tcW w:w="75" w:type="dxa"/>
            <w:tcBorders/>
            <w:vAlign w:val="center"/>
          </w:tcPr>
          <w:p>
            <w:pPr>
              <w:pStyle w:val="TableContents"/>
              <w:bidi w:val="0"/>
              <w:spacing w:before="0" w:after="283"/>
              <w:jc w:val="left"/>
              <w:rPr/>
            </w:pPr>
            <w:r>
              <w:rPr/>
              <w:t> </w:t>
            </w:r>
          </w:p>
        </w:tc>
        <w:tc>
          <w:tcPr>
            <w:tcW w:w="6992" w:type="dxa"/>
            <w:tcBorders/>
            <w:vAlign w:val="center"/>
          </w:tcPr>
          <w:p>
            <w:pPr>
              <w:pStyle w:val="TableContents"/>
              <w:bidi w:val="0"/>
              <w:jc w:val="left"/>
              <w:rPr/>
            </w:pPr>
            <w:r>
              <w:rPr>
                <w:b/>
                <w:sz w:val="20"/>
              </w:rPr>
              <w:t xml:space="preserve">BAOSHENG MEDIA GROUP </w:t>
              <w:br/>
              <w:t xml:space="preserve">HOLDINGS LIMITED </w:t>
            </w:r>
            <w:r>
              <w:rPr>
                <w:rFonts w:eastAsia="Times New Roman;Times;Serif"/>
                <w:b/>
                <w:sz w:val="20"/>
              </w:rPr>
              <w:t>宝盛传媒集团控股有限公司</w:t>
            </w:r>
          </w:p>
          <w:p>
            <w:pPr>
              <w:pStyle w:val="TableContents"/>
              <w:bidi w:val="0"/>
              <w:jc w:val="left"/>
              <w:rPr/>
            </w:pPr>
            <w:r>
              <w:rPr/>
              <w:t>4th Floor, Harbour Place, 103 South Church Street, P.O. Box 10240, Grand Cayman KY1-1002, Cayman Islands</w:t>
            </w:r>
          </w:p>
          <w:p>
            <w:pPr>
              <w:pStyle w:val="TableContents"/>
              <w:bidi w:val="0"/>
              <w:jc w:val="left"/>
              <w:rPr/>
            </w:pPr>
            <w:r>
              <w:rPr/>
              <w:t> </w:t>
            </w:r>
          </w:p>
          <w:p>
            <w:pPr>
              <w:pStyle w:val="TableContents"/>
              <w:bidi w:val="0"/>
              <w:spacing w:before="0" w:after="283"/>
              <w:jc w:val="left"/>
              <w:rPr>
                <w:sz w:val="20"/>
              </w:rPr>
            </w:pPr>
            <w:r>
              <w:rPr>
                <w:b/>
                <w:sz w:val="20"/>
              </w:rPr>
              <w:t>Attn:</w:t>
            </w:r>
            <w:r>
              <w:rPr>
                <w:sz w:val="20"/>
              </w:rPr>
              <w:t xml:space="preserve"> The Board of Directors</w:t>
            </w:r>
          </w:p>
        </w:tc>
        <w:tc>
          <w:tcPr>
            <w:tcW w:w="3138" w:type="dxa"/>
            <w:tcBorders/>
            <w:vAlign w:val="center"/>
          </w:tcPr>
          <w:p>
            <w:pPr>
              <w:pStyle w:val="TableContents"/>
              <w:bidi w:val="0"/>
              <w:jc w:val="right"/>
              <w:rPr/>
            </w:pPr>
            <w:r>
              <w:rPr/>
              <w:t>Email dbulley@applebyglobal.com</w:t>
            </w:r>
          </w:p>
          <w:p>
            <w:pPr>
              <w:pStyle w:val="TableContents"/>
              <w:bidi w:val="0"/>
              <w:jc w:val="right"/>
              <w:rPr/>
            </w:pPr>
            <w:r>
              <w:rPr/>
              <w:t> </w:t>
            </w:r>
          </w:p>
          <w:p>
            <w:pPr>
              <w:pStyle w:val="TableContents"/>
              <w:bidi w:val="0"/>
              <w:jc w:val="right"/>
              <w:rPr/>
            </w:pPr>
            <w:r>
              <w:rPr/>
              <w:t>Direct Dial +852 2905 5770</w:t>
            </w:r>
          </w:p>
          <w:p>
            <w:pPr>
              <w:pStyle w:val="TableContents"/>
              <w:bidi w:val="0"/>
              <w:jc w:val="right"/>
              <w:rPr/>
            </w:pPr>
            <w:r>
              <w:rPr/>
              <w:t>Tel +852 2523 8123</w:t>
            </w:r>
          </w:p>
          <w:p>
            <w:pPr>
              <w:pStyle w:val="TableContents"/>
              <w:bidi w:val="0"/>
              <w:jc w:val="right"/>
              <w:rPr/>
            </w:pPr>
            <w:r>
              <w:rPr/>
              <w:t> </w:t>
            </w:r>
          </w:p>
          <w:p>
            <w:pPr>
              <w:pStyle w:val="TableContents"/>
              <w:bidi w:val="0"/>
              <w:jc w:val="right"/>
              <w:rPr/>
            </w:pPr>
            <w:r>
              <w:rPr>
                <w:b/>
              </w:rPr>
              <w:t>Appleby Ref</w:t>
            </w:r>
            <w:r>
              <w:rPr/>
              <w:t xml:space="preserve"> 475607.0002</w:t>
            </w:r>
          </w:p>
          <w:p>
            <w:pPr>
              <w:pStyle w:val="TableContents"/>
              <w:bidi w:val="0"/>
              <w:jc w:val="right"/>
              <w:rPr/>
            </w:pPr>
            <w:r>
              <w:rPr/>
              <w:t> </w:t>
            </w:r>
          </w:p>
          <w:p>
            <w:pPr>
              <w:pStyle w:val="TableContents"/>
              <w:bidi w:val="0"/>
              <w:spacing w:before="0" w:after="283"/>
              <w:jc w:val="right"/>
              <w:rPr/>
            </w:pPr>
            <w:r>
              <w:rPr/>
              <w:t>3 September 2026</w:t>
            </w:r>
          </w:p>
        </w:tc>
      </w:tr>
    </w:tbl>
    <w:p>
      <w:pPr>
        <w:pStyle w:val="TextBody"/>
        <w:bidi w:val="0"/>
        <w:spacing w:before="0" w:after="0"/>
        <w:ind w:left="0" w:right="0" w:hanging="0"/>
        <w:jc w:val="right"/>
        <w:rPr>
          <w:caps w:val="false"/>
          <w:smallCaps w:val="false"/>
        </w:rPr>
      </w:pPr>
      <w:r>
        <w:rPr>
          <w:caps w:val="false"/>
          <w:smallCaps w:val="false"/>
        </w:rPr>
        <w:t>  </w:t>
      </w:r>
    </w:p>
    <w:tbl>
      <w:tblPr>
        <w:tblW w:w="800" w:type="dxa"/>
        <w:jc w:val="left"/>
        <w:tblInd w:w="0" w:type="dxa"/>
        <w:tblLayout w:type="fixed"/>
        <w:tblCellMar>
          <w:top w:w="0" w:type="dxa"/>
          <w:left w:w="0" w:type="dxa"/>
          <w:bottom w:w="0" w:type="dxa"/>
          <w:right w:w="0" w:type="dxa"/>
        </w:tblCellMar>
      </w:tblPr>
      <w:tblGrid>
        <w:gridCol w:w="60"/>
        <w:gridCol w:w="740"/>
      </w:tblGrid>
      <w:tr>
        <w:trPr/>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20"/>
              </w:rPr>
            </w:pPr>
            <w:r>
              <w:rPr>
                <w:sz w:val="20"/>
              </w:rPr>
              <w:t>Dear Sirs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6"/>
        <w:gridCol w:w="60"/>
        <w:gridCol w:w="8459"/>
      </w:tblGrid>
      <w:tr>
        <w:trPr/>
        <w:tc>
          <w:tcPr>
            <w:tcW w:w="16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Suites 3504B-06</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35/F, Two Taikoo Place</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 King’s Road</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Quarry Bay</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ableContents"/>
              <w:bidi w:val="0"/>
              <w:spacing w:before="0" w:after="0"/>
              <w:jc w:val="right"/>
              <w:rPr>
                <w:caps w:val="false"/>
                <w:smallCaps w:val="false"/>
              </w:rPr>
            </w:pPr>
            <w:r>
              <w:rPr>
                <w:caps w:val="false"/>
                <w:smallCaps w:val="false"/>
              </w:rPr>
              <w:t> </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2523 8123</w:t>
            </w:r>
          </w:p>
          <w:p>
            <w:pPr>
              <w:pStyle w:val="TableContents"/>
              <w:bidi w:val="0"/>
              <w:spacing w:before="0" w:after="0"/>
              <w:jc w:val="right"/>
              <w:rPr>
                <w:caps w:val="false"/>
                <w:smallCaps w:val="false"/>
              </w:rPr>
            </w:pPr>
            <w:r>
              <w:rPr>
                <w:caps w:val="false"/>
                <w:smallCaps w:val="false"/>
              </w:rPr>
              <w:t> </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applebyglobal.com </w:t>
            </w:r>
          </w:p>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Managing Partner</w:t>
            </w:r>
            <w:r>
              <w:rPr>
                <w:rFonts w:ascii="Times New Roman;Times;Serif" w:hAnsi="Times New Roman;Times;Serif"/>
                <w:b w:val="false"/>
                <w:i w:val="false"/>
                <w:caps w:val="false"/>
                <w:smallCaps w:val="false"/>
                <w:sz w:val="20"/>
              </w:rPr>
              <w:t xml:space="preserve"> </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Bulley  </w:t>
            </w:r>
          </w:p>
          <w:p>
            <w:pPr>
              <w:pStyle w:val="TableContents"/>
              <w:bidi w:val="0"/>
              <w:spacing w:before="0" w:after="0"/>
              <w:jc w:val="right"/>
              <w:rPr>
                <w:caps w:val="false"/>
                <w:smallCaps w:val="false"/>
              </w:rPr>
            </w:pPr>
            <w:r>
              <w:rPr>
                <w:caps w:val="false"/>
                <w:smallCaps w:val="false"/>
              </w:rPr>
              <w:t> </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Fiona Chan</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Kitty Chan</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Vincent Chan</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 Cheng</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Richard Grasby</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Judy Lee</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Makridakis</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John McCarroll SC</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Lorinda Peasland</w:t>
            </w:r>
          </w:p>
          <w:p>
            <w:pPr>
              <w:pStyle w:val="TableContents"/>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Eliot Simpson</w:t>
            </w:r>
          </w:p>
        </w:tc>
        <w:tc>
          <w:tcPr>
            <w:tcW w:w="60" w:type="dxa"/>
            <w:tcBorders/>
            <w:vAlign w:val="center"/>
          </w:tcPr>
          <w:p>
            <w:pPr>
              <w:pStyle w:val="TableContents"/>
              <w:bidi w:val="0"/>
              <w:spacing w:before="0" w:after="283"/>
              <w:jc w:val="left"/>
              <w:rPr/>
            </w:pPr>
            <w:r>
              <w:rPr/>
              <w:t> </w:t>
            </w:r>
          </w:p>
        </w:tc>
        <w:tc>
          <w:tcPr>
            <w:tcW w:w="8459" w:type="dxa"/>
            <w:tcBorders/>
            <w:vAlign w:val="center"/>
          </w:tcPr>
          <w:p>
            <w:pPr>
              <w:pStyle w:val="TableContents"/>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 xml:space="preserve">BAOSHENG MEDIA GROUP HOLDINGS LIMITED </w:t>
            </w:r>
            <w:r>
              <w:rPr>
                <w:rFonts w:eastAsia="Times New Roman;Times;Serif"/>
                <w:b/>
                <w:i w:val="false"/>
                <w:caps w:val="false"/>
                <w:smallCaps w:val="false"/>
                <w:sz w:val="20"/>
              </w:rPr>
              <w:t>宝盛传媒集团控股有限公司</w:t>
            </w:r>
            <w:r>
              <w:rPr>
                <w:rFonts w:ascii="Times New Roman;Times;Serif" w:hAnsi="Times New Roman;Times;Serif"/>
                <w:b/>
                <w:i w:val="false"/>
                <w:caps w:val="false"/>
                <w:smallCaps w:val="false"/>
                <w:sz w:val="20"/>
              </w:rPr>
              <w:t xml:space="preserve">(Company)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act as counsel as to Cayman Islands law to the Company, and this legal opinion as to Cayman Islands law is addressed to you in connection with the Company’s filing of a registration statement on Form F-3 pursuant to the Securities Act of 1933 of the United States of America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which term does not include any other document or agreement whether or not specifically referred to therein or attached as an exhibit or schedule thereto)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relating to up to US$300,000,000 of the ordinary shares of the Company, par value US$0.0096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xml:space="preserve">, each an </w:t>
            </w:r>
            <w:r>
              <w:rPr>
                <w:rFonts w:ascii="Times New Roman;Times;Serif" w:hAnsi="Times New Roman;Times;Serif"/>
                <w:b/>
                <w:i w:val="false"/>
                <w:caps w:val="false"/>
                <w:smallCaps w:val="false"/>
                <w:sz w:val="20"/>
              </w:rPr>
              <w:t>Ordinary Share</w:t>
            </w:r>
            <w:r>
              <w:rPr>
                <w:rFonts w:ascii="Times New Roman;Times;Serif" w:hAnsi="Times New Roman;Times;Serif"/>
                <w:b w:val="false"/>
                <w:i w:val="false"/>
                <w:caps w:val="false"/>
                <w:smallCaps w:val="false"/>
                <w:sz w:val="20"/>
              </w:rPr>
              <w:t xml:space="preserve">), debt securities, warrants, rights or units in one or more offerings (all the Ordinary Shares for selling and offering in the Offering, the </w:t>
            </w:r>
            <w:r>
              <w:rPr>
                <w:rFonts w:ascii="Times New Roman;Times;Serif" w:hAnsi="Times New Roman;Times;Serif"/>
                <w:b/>
                <w:i w:val="false"/>
                <w:caps w:val="false"/>
                <w:smallCaps w:val="false"/>
                <w:sz w:val="20"/>
              </w:rPr>
              <w:t>Offer Shares</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8.1 and 23.3 to the Registration Statement.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REVIEW</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and relied upon the Documents and the documents listed in Schedule 1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We have not examined any other documents, even if they are referred to in the Documents.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made any other enquiries concerning the Company and in particular we have not investigated or verified any matter of fact or opinion (whether set out in any of the Documents or elsewhere) other than as expressly stated in this opinion.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defined herein, capitalized terms have the meanings assigned to them in Schedule 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715" w:type="dxa"/>
        <w:jc w:val="left"/>
        <w:tblInd w:w="0" w:type="dxa"/>
        <w:tblLayout w:type="fixed"/>
        <w:tblCellMar>
          <w:top w:w="0" w:type="dxa"/>
          <w:left w:w="0" w:type="dxa"/>
          <w:bottom w:w="0" w:type="dxa"/>
          <w:right w:w="0" w:type="dxa"/>
        </w:tblCellMar>
      </w:tblPr>
      <w:tblGrid>
        <w:gridCol w:w="1715"/>
      </w:tblGrid>
      <w:tr>
        <w:trPr/>
        <w:tc>
          <w:tcPr>
            <w:tcW w:w="1715" w:type="dxa"/>
            <w:tcBorders/>
            <w:vAlign w:val="center"/>
          </w:tcPr>
          <w:p>
            <w:pPr>
              <w:pStyle w:val="TableContents"/>
              <w:bidi w:val="0"/>
              <w:spacing w:before="0" w:after="283"/>
              <w:jc w:val="both"/>
              <w:rPr>
                <w:b/>
              </w:rPr>
            </w:pPr>
            <w:r>
              <w:rPr>
                <w:b/>
              </w:rPr>
              <w:t>LIMITATIONS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pPr>
            <w:r>
              <w:rPr/>
              <w:t>Our opinion is limited to, and should be construed in accordance with, the laws of the Cayman Islands at the date of this opinion. We express no opinion on the laws of any other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pPr>
            <w:r>
              <w:rPr/>
              <w:t>This opinion is limited to the matters stated in it and does not extend, and is not to be extended by implication, to any other matters.</w:t>
            </w:r>
          </w:p>
        </w:tc>
      </w:tr>
    </w:tbl>
    <w:p>
      <w:pPr>
        <w:pStyle w:val="TextBody"/>
        <w:bidi w:val="0"/>
        <w:spacing w:before="0" w:after="0"/>
        <w:ind w:left="0" w:right="0" w:hanging="0"/>
        <w:jc w:val="both"/>
        <w:rPr>
          <w:caps w:val="false"/>
          <w:smallCaps w:val="false"/>
        </w:rPr>
      </w:pPr>
      <w:r>
        <w:rPr>
          <w:caps w:val="false"/>
          <w:smallCaps w:val="false"/>
        </w:rPr>
        <w:t> </w:t>
      </w:r>
    </w:p>
    <w:tbl>
      <w:tblPr>
        <w:tblW w:w="4400" w:type="dxa"/>
        <w:jc w:val="left"/>
        <w:tblInd w:w="0" w:type="dxa"/>
        <w:tblLayout w:type="fixed"/>
        <w:tblCellMar>
          <w:top w:w="0" w:type="dxa"/>
          <w:left w:w="0" w:type="dxa"/>
          <w:bottom w:w="0" w:type="dxa"/>
          <w:right w:w="0" w:type="dxa"/>
        </w:tblCellMar>
      </w:tblPr>
      <w:tblGrid>
        <w:gridCol w:w="4400"/>
      </w:tblGrid>
      <w:tr>
        <w:trPr/>
        <w:tc>
          <w:tcPr>
            <w:tcW w:w="4400" w:type="dxa"/>
            <w:tcBorders/>
            <w:vAlign w:val="center"/>
          </w:tcPr>
          <w:p>
            <w:pPr>
              <w:pStyle w:val="TableContents"/>
              <w:bidi w:val="0"/>
              <w:spacing w:before="0" w:after="283"/>
              <w:jc w:val="both"/>
              <w:rPr>
                <w:b/>
              </w:rPr>
            </w:pPr>
            <w:r>
              <w:rPr>
                <w:b/>
              </w:rPr>
              <w:t>ASSUMPTIONS AND RESERVATIONS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pPr>
            <w:r>
              <w:rPr/>
              <w:t>We give the following opinions on the basis of the assumptions set out in Schedule 2 (</w:t>
            </w:r>
            <w:r>
              <w:rPr>
                <w:b/>
              </w:rPr>
              <w:t>Assumptions</w:t>
            </w:r>
            <w:r>
              <w:rPr/>
              <w:t>), which we have not verified, and subject to the reservations set out in Schedule 3 (</w:t>
            </w:r>
            <w:r>
              <w:rPr>
                <w:b/>
              </w:rPr>
              <w:t>Reservations</w:t>
            </w:r>
            <w:r>
              <w:rPr/>
              <w:t>).</w:t>
            </w:r>
          </w:p>
        </w:tc>
      </w:tr>
    </w:tbl>
    <w:p>
      <w:pPr>
        <w:pStyle w:val="TextBody"/>
        <w:bidi w:val="0"/>
        <w:spacing w:before="0" w:after="0"/>
        <w:ind w:left="0" w:right="0" w:hanging="0"/>
        <w:jc w:val="both"/>
        <w:rPr>
          <w:caps w:val="false"/>
          <w:smallCaps w:val="false"/>
        </w:rPr>
      </w:pPr>
      <w:r>
        <w:rPr>
          <w:caps w:val="false"/>
          <w:smallCaps w:val="false"/>
        </w:rPr>
        <w:t> </w:t>
      </w:r>
    </w:p>
    <w:tbl>
      <w:tblPr>
        <w:tblW w:w="1235" w:type="dxa"/>
        <w:jc w:val="left"/>
        <w:tblInd w:w="0" w:type="dxa"/>
        <w:tblLayout w:type="fixed"/>
        <w:tblCellMar>
          <w:top w:w="0" w:type="dxa"/>
          <w:left w:w="0" w:type="dxa"/>
          <w:bottom w:w="0" w:type="dxa"/>
          <w:right w:w="0" w:type="dxa"/>
        </w:tblCellMar>
      </w:tblPr>
      <w:tblGrid>
        <w:gridCol w:w="1235"/>
      </w:tblGrid>
      <w:tr>
        <w:trPr/>
        <w:tc>
          <w:tcPr>
            <w:tcW w:w="1235" w:type="dxa"/>
            <w:tcBorders/>
            <w:vAlign w:val="center"/>
          </w:tcPr>
          <w:p>
            <w:pPr>
              <w:pStyle w:val="TableContents"/>
              <w:bidi w:val="0"/>
              <w:spacing w:before="0" w:after="283"/>
              <w:jc w:val="both"/>
              <w:rPr>
                <w:b/>
              </w:rPr>
            </w:pPr>
            <w:r>
              <w:rPr>
                <w:b/>
              </w:rPr>
              <w:t>OPINIONS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pPr>
            <w:r>
              <w:rPr/>
              <w:t>1.</w:t>
            </w:r>
          </w:p>
        </w:tc>
        <w:tc>
          <w:tcPr>
            <w:tcW w:w="10025" w:type="dxa"/>
            <w:tcBorders/>
            <w:vAlign w:val="center"/>
          </w:tcPr>
          <w:p>
            <w:pPr>
              <w:pStyle w:val="TableContents"/>
              <w:bidi w:val="0"/>
              <w:spacing w:before="0" w:after="283"/>
              <w:jc w:val="both"/>
              <w:rPr/>
            </w:pPr>
            <w:r>
              <w:rPr>
                <w:b/>
              </w:rPr>
              <w:t>Authorized Share Capital</w:t>
            </w:r>
            <w:r>
              <w:rPr/>
              <w:t>: Base solely on our review of the Constitutional Documents, the authorized share capital of the Company is US$9,600,000 divided into 1,000,000,000 ordinary shares of a par value US$0.0096 each.</w:t>
            </w:r>
          </w:p>
        </w:tc>
      </w:tr>
    </w:tbl>
    <w:p>
      <w:pPr>
        <w:pStyle w:val="TextBody"/>
        <w:bidi w:val="0"/>
        <w:spacing w:before="0" w:after="0"/>
        <w:ind w:left="3017" w:right="165"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both"/>
              <w:rPr/>
            </w:pPr>
            <w:r>
              <w:rPr>
                <w:b/>
              </w:rPr>
              <w:t>Authorization</w:t>
            </w:r>
            <w:r>
              <w:rPr/>
              <w:t>: The Company has taken all necessary corporate action to authorize the issuance of the Offer Shares under the Registration Statement.</w:t>
            </w:r>
          </w:p>
        </w:tc>
      </w:tr>
    </w:tbl>
    <w:p>
      <w:pPr>
        <w:pStyle w:val="TextBody"/>
        <w:bidi w:val="0"/>
        <w:spacing w:before="0" w:after="0"/>
        <w:ind w:left="3017" w:right="165" w:hanging="721"/>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017" w:right="165"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pPr>
            <w:r>
              <w:rPr/>
              <w:t>3.</w:t>
            </w:r>
          </w:p>
        </w:tc>
        <w:tc>
          <w:tcPr>
            <w:tcW w:w="10043" w:type="dxa"/>
            <w:tcBorders/>
            <w:vAlign w:val="center"/>
          </w:tcPr>
          <w:p>
            <w:pPr>
              <w:pStyle w:val="TableContents"/>
              <w:bidi w:val="0"/>
              <w:spacing w:before="0" w:after="283"/>
              <w:jc w:val="both"/>
              <w:rPr/>
            </w:pPr>
            <w:r>
              <w:rPr>
                <w:b/>
              </w:rPr>
              <w:t>Issue of Shares</w:t>
            </w:r>
            <w:r>
              <w:rPr/>
              <w:t xml:space="preserve">: The Offer Shares to be allotted and issued by the Company have been duly authorized, and, when fully paid, allotted and issued by the Company in the manner set out in the Registration Statement and in accordance with the Resolutions, will be validly issued, fully paid and non-assessable, provided that no winding-up order is made by any court of the Cayman Islands in relation to the Winding-up Proceeding (as defined in Schedule 2), or a validation order in relation to the issuance of the Offer Shares is obtained. The reference in this opinion to shares being </w:t>
            </w:r>
            <w:r>
              <w:rPr>
                <w:i/>
              </w:rPr>
              <w:t>non-assessable</w:t>
            </w:r>
            <w:r>
              <w:rPr/>
              <w:t xml:space="preserve"> shall mean solely that no further sums of money are required to be paid by the holders of such shares in connection with the issuance thereof.</w:t>
            </w:r>
          </w:p>
        </w:tc>
      </w:tr>
    </w:tbl>
    <w:p>
      <w:pPr>
        <w:pStyle w:val="TextBody"/>
        <w:bidi w:val="0"/>
        <w:spacing w:before="0" w:after="0"/>
        <w:ind w:left="3017" w:right="165"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pPr>
            <w:r>
              <w:rPr/>
              <w:t>4.</w:t>
            </w:r>
          </w:p>
        </w:tc>
        <w:tc>
          <w:tcPr>
            <w:tcW w:w="10036" w:type="dxa"/>
            <w:tcBorders/>
            <w:vAlign w:val="center"/>
          </w:tcPr>
          <w:p>
            <w:pPr>
              <w:pStyle w:val="TableContents"/>
              <w:bidi w:val="0"/>
              <w:spacing w:before="0" w:after="283"/>
              <w:jc w:val="both"/>
              <w:rPr/>
            </w:pPr>
            <w:r>
              <w:rPr>
                <w:b/>
              </w:rPr>
              <w:t>Disclosure in offering documents</w:t>
            </w:r>
            <w:r>
              <w:rPr/>
              <w:t>: The statements under the headings “Enforceability of Civil Liabilities”, “Taxation” and “Description of Share Capital” in the prospectus forming part of the Registration Statement, insofar as such statements constitute statements of Cayman Islands law and only to the extent governed by the laws of the Cayman Islands, are accurate in all material respects.</w:t>
            </w:r>
          </w:p>
        </w:tc>
      </w:tr>
    </w:tbl>
    <w:p>
      <w:pPr>
        <w:pStyle w:val="TextBody"/>
        <w:bidi w:val="0"/>
        <w:spacing w:before="0" w:after="0"/>
        <w:ind w:left="0" w:right="0" w:hanging="0"/>
        <w:jc w:val="left"/>
        <w:rPr>
          <w:caps w:val="false"/>
          <w:smallCaps w:val="false"/>
        </w:rPr>
      </w:pPr>
      <w:r>
        <w:rPr>
          <w:caps w:val="false"/>
          <w:smallCaps w:val="false"/>
        </w:rPr>
        <w:t> </w:t>
      </w:r>
    </w:p>
    <w:tbl>
      <w:tblPr>
        <w:tblW w:w="1205" w:type="dxa"/>
        <w:jc w:val="left"/>
        <w:tblInd w:w="0" w:type="dxa"/>
        <w:tblLayout w:type="fixed"/>
        <w:tblCellMar>
          <w:top w:w="0" w:type="dxa"/>
          <w:left w:w="0" w:type="dxa"/>
          <w:bottom w:w="0" w:type="dxa"/>
          <w:right w:w="0" w:type="dxa"/>
        </w:tblCellMar>
      </w:tblPr>
      <w:tblGrid>
        <w:gridCol w:w="1205"/>
      </w:tblGrid>
      <w:tr>
        <w:trPr/>
        <w:tc>
          <w:tcPr>
            <w:tcW w:w="1205" w:type="dxa"/>
            <w:tcBorders/>
            <w:vAlign w:val="center"/>
          </w:tcPr>
          <w:p>
            <w:pPr>
              <w:pStyle w:val="TableContents"/>
              <w:bidi w:val="0"/>
              <w:spacing w:before="0" w:after="283"/>
              <w:jc w:val="both"/>
              <w:rPr>
                <w:b/>
              </w:rPr>
            </w:pPr>
            <w:r>
              <w:rPr>
                <w:b/>
              </w:rPr>
              <w:t>CONSENT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pPr>
            <w:r>
              <w:rPr/>
              <w:t>We hereby consent to the filing of this opinion as an exhibit to the Registration Statement and to the reference to our firm under the headings “Enforceability of Civil Liabilities” and “Legal Matters” in the prospectus included in the Registration Statement. In providing our consent, we do not thereby admit that we are in the category of persons whose consent is required under Section 7 of the Securities Act or the Rules and Regulations of the Commission thereunder.</w:t>
            </w:r>
          </w:p>
        </w:tc>
      </w:tr>
    </w:tbl>
    <w:p>
      <w:pPr>
        <w:pStyle w:val="TextBody"/>
        <w:bidi w:val="0"/>
        <w:spacing w:before="0" w:after="0"/>
        <w:ind w:left="0" w:right="0" w:hanging="0"/>
        <w:jc w:val="left"/>
        <w:rPr>
          <w:caps w:val="false"/>
          <w:smallCaps w:val="false"/>
        </w:rPr>
      </w:pPr>
      <w:r>
        <w:rPr>
          <w:caps w:val="false"/>
          <w:smallCaps w:val="false"/>
        </w:rPr>
        <w:t> </w:t>
      </w:r>
    </w:p>
    <w:tbl>
      <w:tblPr>
        <w:tblW w:w="1520" w:type="dxa"/>
        <w:jc w:val="left"/>
        <w:tblInd w:w="0" w:type="dxa"/>
        <w:tblLayout w:type="fixed"/>
        <w:tblCellMar>
          <w:top w:w="0" w:type="dxa"/>
          <w:left w:w="0" w:type="dxa"/>
          <w:bottom w:w="0" w:type="dxa"/>
          <w:right w:w="0" w:type="dxa"/>
        </w:tblCellMar>
      </w:tblPr>
      <w:tblGrid>
        <w:gridCol w:w="1520"/>
      </w:tblGrid>
      <w:tr>
        <w:trPr/>
        <w:tc>
          <w:tcPr>
            <w:tcW w:w="1520" w:type="dxa"/>
            <w:tcBorders/>
            <w:vAlign w:val="center"/>
          </w:tcPr>
          <w:p>
            <w:pPr>
              <w:pStyle w:val="TableContents"/>
              <w:bidi w:val="0"/>
              <w:spacing w:before="0" w:after="283"/>
              <w:jc w:val="left"/>
              <w:rPr/>
            </w:pPr>
            <w:r>
              <w:rPr/>
              <w:t>Yours faithfully</w:t>
            </w:r>
          </w:p>
        </w:tc>
      </w:tr>
    </w:tbl>
    <w:p>
      <w:pPr>
        <w:pStyle w:val="TextBody"/>
        <w:bidi w:val="0"/>
        <w:spacing w:before="0" w:after="0"/>
        <w:ind w:left="0" w:right="0" w:hanging="0"/>
        <w:jc w:val="left"/>
        <w:rPr>
          <w:caps w:val="false"/>
          <w:smallCaps w:val="false"/>
        </w:rPr>
      </w:pPr>
      <w:r>
        <w:rPr>
          <w:caps w:val="false"/>
          <w:smallCaps w:val="false"/>
        </w:rPr>
        <w:t> </w:t>
      </w:r>
    </w:p>
    <w:tbl>
      <w:tblPr>
        <w:tblW w:w="890" w:type="dxa"/>
        <w:jc w:val="left"/>
        <w:tblInd w:w="0" w:type="dxa"/>
        <w:tblLayout w:type="fixed"/>
        <w:tblCellMar>
          <w:top w:w="0" w:type="dxa"/>
          <w:left w:w="0" w:type="dxa"/>
          <w:bottom w:w="0" w:type="dxa"/>
          <w:right w:w="0" w:type="dxa"/>
        </w:tblCellMar>
      </w:tblPr>
      <w:tblGrid>
        <w:gridCol w:w="890"/>
      </w:tblGrid>
      <w:tr>
        <w:trPr/>
        <w:tc>
          <w:tcPr>
            <w:tcW w:w="890" w:type="dxa"/>
            <w:tcBorders/>
            <w:vAlign w:val="center"/>
          </w:tcPr>
          <w:p>
            <w:pPr>
              <w:pStyle w:val="TableContents"/>
              <w:bidi w:val="0"/>
              <w:spacing w:before="0" w:after="283"/>
              <w:jc w:val="left"/>
              <w:rPr>
                <w:b/>
              </w:rPr>
            </w:pPr>
            <w:r>
              <w:rPr>
                <w:b/>
              </w:rPr>
              <w:t>Appleby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Examined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pPr>
            <w:r>
              <w:rPr/>
              <w:t>1.</w:t>
            </w:r>
          </w:p>
        </w:tc>
        <w:tc>
          <w:tcPr>
            <w:tcW w:w="10001" w:type="dxa"/>
            <w:tcBorders/>
            <w:vAlign w:val="center"/>
          </w:tcPr>
          <w:p>
            <w:pPr>
              <w:pStyle w:val="TableContents"/>
              <w:bidi w:val="0"/>
              <w:spacing w:before="0" w:after="283"/>
              <w:jc w:val="both"/>
              <w:rPr/>
            </w:pPr>
            <w:r>
              <w:rPr/>
              <w:t>A scanned copy of the certificate of incorporation of the Company dated 4 December 2018 (</w:t>
            </w:r>
            <w:r>
              <w:rPr>
                <w:b/>
              </w:rPr>
              <w:t>Certificate of Incorporation</w:t>
            </w:r>
            <w:r>
              <w:rPr/>
              <w:t>).</w:t>
            </w:r>
          </w:p>
        </w:tc>
      </w:tr>
    </w:tbl>
    <w:p>
      <w:pPr>
        <w:pStyle w:val="TextBody"/>
        <w:bidi w:val="0"/>
        <w:spacing w:before="0" w:after="0"/>
        <w:ind w:left="3017" w:right="165"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pPr>
            <w:r>
              <w:rPr/>
              <w:t>2.</w:t>
            </w:r>
          </w:p>
        </w:tc>
        <w:tc>
          <w:tcPr>
            <w:tcW w:w="10037" w:type="dxa"/>
            <w:tcBorders/>
            <w:vAlign w:val="center"/>
          </w:tcPr>
          <w:p>
            <w:pPr>
              <w:pStyle w:val="TableContents"/>
              <w:bidi w:val="0"/>
              <w:spacing w:before="0" w:after="283"/>
              <w:jc w:val="both"/>
              <w:rPr/>
            </w:pPr>
            <w:r>
              <w:rPr/>
              <w:t xml:space="preserve">Scanned copies of (i) the amended and restated memorandum of association and articles of association of the Company adopted by a special resolution passed on 20 July 2020 and effective on 10 February 2021 and (ii) a stamped copy the minutes of the 2023 extraordinary general meeting of the shareholders held on 28 September 2023 to approve the relevant share capital increase (the </w:t>
            </w:r>
            <w:r>
              <w:rPr>
                <w:b/>
              </w:rPr>
              <w:t>Constitutional Documents</w:t>
            </w:r>
            <w:r>
              <w:rPr/>
              <w:t>).</w:t>
            </w:r>
          </w:p>
        </w:tc>
      </w:tr>
    </w:tbl>
    <w:p>
      <w:pPr>
        <w:pStyle w:val="TextBody"/>
        <w:bidi w:val="0"/>
        <w:spacing w:before="0" w:after="0"/>
        <w:ind w:left="3017" w:right="165"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pPr>
            <w:r>
              <w:rPr/>
              <w:t>3.</w:t>
            </w:r>
          </w:p>
        </w:tc>
        <w:tc>
          <w:tcPr>
            <w:tcW w:w="10004" w:type="dxa"/>
            <w:tcBorders/>
            <w:vAlign w:val="center"/>
          </w:tcPr>
          <w:p>
            <w:pPr>
              <w:pStyle w:val="TableContents"/>
              <w:bidi w:val="0"/>
              <w:spacing w:before="0" w:after="283"/>
              <w:jc w:val="both"/>
              <w:rPr/>
            </w:pPr>
            <w:r>
              <w:rPr/>
              <w:t xml:space="preserve">A scanned copy of the written resolutions signed by all of the directors of the Company dated 3 September 2026 (the </w:t>
            </w:r>
            <w:r>
              <w:rPr>
                <w:b/>
              </w:rPr>
              <w:t>Resolutions</w:t>
            </w:r>
            <w:r>
              <w:rPr/>
              <w:t>).</w:t>
            </w:r>
          </w:p>
        </w:tc>
      </w:tr>
    </w:tbl>
    <w:p>
      <w:pPr>
        <w:pStyle w:val="TextBody"/>
        <w:bidi w:val="0"/>
        <w:spacing w:before="0" w:after="0"/>
        <w:ind w:left="3017" w:right="165"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pPr>
            <w:r>
              <w:rPr/>
              <w:t>4.</w:t>
            </w:r>
          </w:p>
        </w:tc>
        <w:tc>
          <w:tcPr>
            <w:tcW w:w="10006" w:type="dxa"/>
            <w:tcBorders/>
            <w:vAlign w:val="center"/>
          </w:tcPr>
          <w:p>
            <w:pPr>
              <w:pStyle w:val="TableContents"/>
              <w:bidi w:val="0"/>
              <w:spacing w:before="0" w:after="283"/>
              <w:jc w:val="both"/>
              <w:rPr/>
            </w:pPr>
            <w:r>
              <w:rPr/>
              <w:t>A scanned copy of the register of directors and officers of the Company provided on 11 August 2026 (</w:t>
            </w:r>
            <w:r>
              <w:rPr>
                <w:b/>
              </w:rPr>
              <w:t>Register of Directors and Officers</w:t>
            </w:r>
            <w:r>
              <w:rPr/>
              <w:t>).</w:t>
            </w:r>
          </w:p>
        </w:tc>
      </w:tr>
    </w:tbl>
    <w:p>
      <w:pPr>
        <w:pStyle w:val="TextBody"/>
        <w:bidi w:val="0"/>
        <w:spacing w:before="0" w:after="0"/>
        <w:ind w:left="3017" w:right="165" w:hanging="721"/>
        <w:jc w:val="both"/>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215"/>
        <w:gridCol w:w="7610"/>
      </w:tblGrid>
      <w:tr>
        <w:trPr/>
        <w:tc>
          <w:tcPr>
            <w:tcW w:w="215" w:type="dxa"/>
            <w:tcBorders/>
            <w:vAlign w:val="center"/>
          </w:tcPr>
          <w:p>
            <w:pPr>
              <w:pStyle w:val="TableContents"/>
              <w:bidi w:val="0"/>
              <w:spacing w:before="0" w:after="283"/>
              <w:jc w:val="left"/>
              <w:rPr/>
            </w:pPr>
            <w:r>
              <w:rPr/>
              <w:t>5.</w:t>
            </w:r>
          </w:p>
        </w:tc>
        <w:tc>
          <w:tcPr>
            <w:tcW w:w="7610" w:type="dxa"/>
            <w:tcBorders/>
            <w:vAlign w:val="center"/>
          </w:tcPr>
          <w:p>
            <w:pPr>
              <w:pStyle w:val="TableContents"/>
              <w:bidi w:val="0"/>
              <w:spacing w:before="0" w:after="283"/>
              <w:jc w:val="both"/>
              <w:rPr/>
            </w:pPr>
            <w:r>
              <w:rPr/>
              <w:t>A copy of the latest draft Registration Statement provided on 3 September 2026.</w:t>
            </w:r>
          </w:p>
        </w:tc>
      </w:tr>
    </w:tbl>
    <w:p>
      <w:pPr>
        <w:pStyle w:val="TextBody"/>
        <w:bidi w:val="0"/>
        <w:spacing w:before="0" w:after="0"/>
        <w:ind w:left="3017" w:right="165" w:hanging="721"/>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017" w:right="165" w:hanging="721"/>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Schedule 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p>
      <w:pPr>
        <w:pStyle w:val="TextBody"/>
        <w:bidi w:val="0"/>
        <w:spacing w:before="0" w:after="0"/>
        <w:ind w:left="0" w:right="0" w:hanging="0"/>
        <w:jc w:val="left"/>
        <w:rPr>
          <w:caps w:val="false"/>
          <w:smallCaps w:val="false"/>
        </w:rPr>
      </w:pPr>
      <w:r>
        <w:rPr>
          <w:caps w:val="false"/>
          <w:smallCaps w:val="false"/>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jc w:val="left"/>
              <w:rPr/>
            </w:pPr>
            <w:r>
              <w:rPr/>
              <w:t>We have assumed: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1.</w:t>
            </w:r>
          </w:p>
        </w:tc>
        <w:tc>
          <w:tcPr>
            <w:tcW w:w="10026" w:type="dxa"/>
            <w:tcBorders/>
            <w:vAlign w:val="center"/>
          </w:tcPr>
          <w:p>
            <w:pPr>
              <w:pStyle w:val="TableContents"/>
              <w:bidi w:val="0"/>
              <w:spacing w:before="0" w:after="283"/>
              <w:jc w:val="both"/>
              <w:rPr/>
            </w:pPr>
            <w:r>
              <w:rPr/>
              <w:t>(i) that the originals of all documents examined in connection with this opinion are authentic, accurate and complete; and (ii) the authenticity, accuracy, completeness and conformity to original documents of all documents submitted to us as copies;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Pr>
            <w:r>
              <w:rPr/>
              <w:t>2.</w:t>
            </w:r>
          </w:p>
        </w:tc>
        <w:tc>
          <w:tcPr>
            <w:tcW w:w="10024" w:type="dxa"/>
            <w:tcBorders/>
            <w:vAlign w:val="center"/>
          </w:tcPr>
          <w:p>
            <w:pPr>
              <w:pStyle w:val="TableContents"/>
              <w:bidi w:val="0"/>
              <w:spacing w:before="0" w:after="283"/>
              <w:jc w:val="both"/>
              <w:rPr/>
            </w:pPr>
            <w:r>
              <w:rPr/>
              <w:t>that there has been no change to the information contained in the Certificate of Incorporation or the Register of Directors and Officers and that the Constitutional Documents remain in full force and effect and are unamended;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pPr>
            <w:r>
              <w:rPr/>
              <w:t>3.</w:t>
            </w:r>
          </w:p>
        </w:tc>
        <w:tc>
          <w:tcPr>
            <w:tcW w:w="10007" w:type="dxa"/>
            <w:tcBorders/>
            <w:vAlign w:val="center"/>
          </w:tcPr>
          <w:p>
            <w:pPr>
              <w:pStyle w:val="TableContents"/>
              <w:bidi w:val="0"/>
              <w:spacing w:before="0" w:after="283"/>
              <w:jc w:val="both"/>
              <w:rPr/>
            </w:pPr>
            <w:r>
              <w:rPr/>
              <w:t>that the signatures, initials and seals on all documents and certificates submitted to us as originals or copies of executed originals are authentic;</w:t>
            </w:r>
          </w:p>
        </w:tc>
      </w:tr>
    </w:tbl>
    <w:p>
      <w:pPr>
        <w:pStyle w:val="TextBody"/>
        <w:bidi w:val="0"/>
        <w:spacing w:before="0" w:after="0"/>
        <w:ind w:left="3017" w:right="165"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4.</w:t>
            </w:r>
          </w:p>
        </w:tc>
        <w:tc>
          <w:tcPr>
            <w:tcW w:w="10031" w:type="dxa"/>
            <w:tcBorders/>
            <w:vAlign w:val="center"/>
          </w:tcPr>
          <w:p>
            <w:pPr>
              <w:pStyle w:val="TableContents"/>
              <w:bidi w:val="0"/>
              <w:spacing w:before="0" w:after="283"/>
              <w:jc w:val="both"/>
              <w:rPr/>
            </w:pPr>
            <w:r>
              <w:rPr/>
              <w:t>that where incomplete documents, drafts or signature pages only have been supplied to us for the purposes of issuing this opinion, the original documents have been duly completed and correspond in all material respects with the last version of the relevant documents examined by us prior to giving our opinion;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pPr>
            <w:r>
              <w:rPr/>
              <w:t>5.</w:t>
            </w:r>
          </w:p>
        </w:tc>
        <w:tc>
          <w:tcPr>
            <w:tcW w:w="10009" w:type="dxa"/>
            <w:tcBorders/>
            <w:vAlign w:val="center"/>
          </w:tcPr>
          <w:p>
            <w:pPr>
              <w:pStyle w:val="TableContents"/>
              <w:bidi w:val="0"/>
              <w:spacing w:before="0" w:after="283"/>
              <w:jc w:val="both"/>
              <w:rPr/>
            </w:pPr>
            <w:r>
              <w:rPr/>
              <w:t>that the Document does not differ in any material respects from any draft of the same which we have examined and upon which this opinion is based;</w:t>
            </w:r>
          </w:p>
        </w:tc>
      </w:tr>
    </w:tbl>
    <w:p>
      <w:pPr>
        <w:pStyle w:val="TextBody"/>
        <w:bidi w:val="0"/>
        <w:spacing w:before="0" w:after="0"/>
        <w:ind w:left="3017" w:right="165"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pPr>
            <w:r>
              <w:rPr/>
              <w:t>6.</w:t>
            </w:r>
          </w:p>
        </w:tc>
        <w:tc>
          <w:tcPr>
            <w:tcW w:w="10014" w:type="dxa"/>
            <w:tcBorders/>
            <w:vAlign w:val="center"/>
          </w:tcPr>
          <w:p>
            <w:pPr>
              <w:pStyle w:val="TableContents"/>
              <w:bidi w:val="0"/>
              <w:spacing w:before="0" w:after="283"/>
              <w:jc w:val="both"/>
              <w:rPr/>
            </w:pPr>
            <w:r>
              <w:rPr/>
              <w:t>that none of the Company’s directors or its registered office has received any notice of any litigation or threatened litigation to which the Company is or may be party;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pPr>
            <w:r>
              <w:rPr/>
              <w:t>7.</w:t>
            </w:r>
          </w:p>
        </w:tc>
        <w:tc>
          <w:tcPr>
            <w:tcW w:w="10036" w:type="dxa"/>
            <w:tcBorders/>
            <w:vAlign w:val="center"/>
          </w:tcPr>
          <w:p>
            <w:pPr>
              <w:pStyle w:val="TableContents"/>
              <w:bidi w:val="0"/>
              <w:spacing w:before="0" w:after="283"/>
              <w:jc w:val="both"/>
              <w:rPr/>
            </w:pPr>
            <w:r>
              <w:rPr/>
              <w:t>that the Company has not (i) received notice of any stop notice under Order 50 of the Grand Court Rules in respect of any of its shares or (ii) received notice of any restrictions notice under the Beneficial Ownership Transparency Act (as amended) of the Cayman Islands in respect of any of its shares, which restrictions notice has not been withdrawn by the registered office or ceased by court order;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pPr>
            <w:r>
              <w:rPr/>
              <w:t>8.</w:t>
            </w:r>
          </w:p>
        </w:tc>
        <w:tc>
          <w:tcPr>
            <w:tcW w:w="10043" w:type="dxa"/>
            <w:tcBorders/>
            <w:vAlign w:val="center"/>
          </w:tcPr>
          <w:p>
            <w:pPr>
              <w:pStyle w:val="TableContents"/>
              <w:bidi w:val="0"/>
              <w:spacing w:before="0" w:after="283"/>
              <w:jc w:val="both"/>
              <w:rPr/>
            </w:pPr>
            <w:r>
              <w:rPr/>
              <w:t>that (i) any meetings at which the Resolutions were passed were duly convened and had a duly constituted quorum present and voting throughout and any Resolutions passed in writing were adopted in accordance with the law and the Constitutional Documents, (ii) all interests of the directors of the Company on the subject matter of the Resolutions, if any, were declared and disclosed in accordance with the law and Constitutional Documents, (iii) the Resolutions have not been revoked, amended or superseded, in whole or in part, and remain in full force and effect at the date of this opinion, and (iv) the directors of the Company have concluded that the transactions approved by the Resolutions are </w:t>
            </w:r>
            <w:r>
              <w:rPr>
                <w:i/>
              </w:rPr>
              <w:t>bona fide</w:t>
            </w:r>
            <w:r>
              <w:rPr/>
              <w:t> in the best interests of the Company and for a proper purpose of the Company;</w:t>
            </w:r>
          </w:p>
        </w:tc>
      </w:tr>
    </w:tbl>
    <w:p>
      <w:pPr>
        <w:pStyle w:val="TextBody"/>
        <w:bidi w:val="0"/>
        <w:spacing w:before="0" w:after="0"/>
        <w:ind w:left="3017" w:right="165"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pPr>
            <w:r>
              <w:rPr/>
              <w:t>9.</w:t>
            </w:r>
          </w:p>
        </w:tc>
        <w:tc>
          <w:tcPr>
            <w:tcW w:w="10021" w:type="dxa"/>
            <w:tcBorders/>
            <w:vAlign w:val="center"/>
          </w:tcPr>
          <w:p>
            <w:pPr>
              <w:pStyle w:val="TableContents"/>
              <w:bidi w:val="0"/>
              <w:spacing w:before="0" w:after="283"/>
              <w:jc w:val="both"/>
              <w:rPr/>
            </w:pPr>
            <w:r>
              <w:rPr/>
              <w:t>that the Register of Directors and Officers accurately reflects the names of all directors and officers of the Company as at the dates the Resolutions were passed or adopted and as at the date of this opinion;</w:t>
            </w:r>
          </w:p>
        </w:tc>
      </w:tr>
    </w:tbl>
    <w:p>
      <w:pPr>
        <w:pStyle w:val="TextBody"/>
        <w:bidi w:val="0"/>
        <w:spacing w:before="0" w:after="0"/>
        <w:ind w:left="3017" w:right="165"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10.</w:t>
            </w:r>
          </w:p>
        </w:tc>
        <w:tc>
          <w:tcPr>
            <w:tcW w:w="9918" w:type="dxa"/>
            <w:tcBorders/>
            <w:vAlign w:val="center"/>
          </w:tcPr>
          <w:p>
            <w:pPr>
              <w:pStyle w:val="TableContents"/>
              <w:bidi w:val="0"/>
              <w:spacing w:before="0" w:after="283"/>
              <w:jc w:val="both"/>
              <w:rPr/>
            </w:pPr>
            <w:r>
              <w:rPr/>
              <w:t>that there are no records of the Company, agreements, documents or arrangements other than the Constitutional Documents, the Resolutions and the documents expressly referred to herein as having been examined by us which materially affect, amend or vary the transactions contemplated in the Documents or restrict the powers and authority of the directors of the Company in any way which would affect opinions expressed herein; and</w:t>
            </w:r>
          </w:p>
        </w:tc>
      </w:tr>
    </w:tbl>
    <w:p>
      <w:pPr>
        <w:pStyle w:val="TextBody"/>
        <w:bidi w:val="0"/>
        <w:spacing w:before="0" w:after="0"/>
        <w:ind w:left="3017" w:right="165"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11.</w:t>
            </w:r>
          </w:p>
        </w:tc>
        <w:tc>
          <w:tcPr>
            <w:tcW w:w="9917" w:type="dxa"/>
            <w:tcBorders/>
            <w:vAlign w:val="center"/>
          </w:tcPr>
          <w:p>
            <w:pPr>
              <w:pStyle w:val="TableContents"/>
              <w:bidi w:val="0"/>
              <w:spacing w:before="0" w:after="283"/>
              <w:jc w:val="both"/>
              <w:rPr/>
            </w:pPr>
            <w:r>
              <w:rPr/>
              <w:t xml:space="preserve">that the proceeding in relation to the winding-up petition filed by Orient Plus International Limited on 10 April 2024 at the Grand Court of the Cayman Islands seeking an order that the Company be wound up pursuant to section 92(e) of the Companies Act (the </w:t>
            </w:r>
            <w:r>
              <w:rPr>
                <w:b/>
              </w:rPr>
              <w:t>Winding-up Proceeding</w:t>
            </w:r>
            <w:r>
              <w:rPr/>
              <w:t>) will be withdrawn or determined in favor of the Company and no winding-up order will be made against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Reservations</w:t>
      </w:r>
    </w:p>
    <w:p>
      <w:pPr>
        <w:pStyle w:val="TextBody"/>
        <w:bidi w:val="0"/>
        <w:spacing w:before="0" w:after="0"/>
        <w:ind w:left="0" w:right="0" w:hanging="0"/>
        <w:jc w:val="both"/>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3725"/>
      </w:tblGrid>
      <w:tr>
        <w:trPr/>
        <w:tc>
          <w:tcPr>
            <w:tcW w:w="3725" w:type="dxa"/>
            <w:tcBorders/>
            <w:vAlign w:val="center"/>
          </w:tcPr>
          <w:p>
            <w:pPr>
              <w:pStyle w:val="TableContents"/>
              <w:bidi w:val="0"/>
              <w:spacing w:before="0" w:after="283"/>
              <w:jc w:val="both"/>
              <w:rPr/>
            </w:pPr>
            <w:r>
              <w:rPr/>
              <w:t>Our opinion is subject to the following: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pPr>
            <w:r>
              <w:rPr/>
              <w:t>1.</w:t>
            </w:r>
          </w:p>
        </w:tc>
        <w:tc>
          <w:tcPr>
            <w:tcW w:w="10045" w:type="dxa"/>
            <w:tcBorders/>
            <w:vAlign w:val="center"/>
          </w:tcPr>
          <w:p>
            <w:pPr>
              <w:pStyle w:val="TableContents"/>
              <w:bidi w:val="0"/>
              <w:spacing w:before="0" w:after="283"/>
              <w:jc w:val="both"/>
              <w:rPr/>
            </w:pPr>
            <w:r>
              <w:rPr>
                <w:b/>
              </w:rPr>
              <w:t>Preferences</w:t>
            </w:r>
            <w:r>
              <w:rPr/>
              <w:t>: Every conveyance or transfer of property, or charge thereon, and every payment obligation and judicial proceeding, made, incurred, taken or suffered by a company at a time when that company was unable to pay its debts within the meaning of section 93 of the Companies Act (as amended) of the Cayman Islands (</w:t>
            </w:r>
            <w:r>
              <w:rPr>
                <w:b/>
              </w:rPr>
              <w:t>Companies Act</w:t>
            </w:r>
            <w:r>
              <w:rPr/>
              <w:t>), and made or granted in favour of a creditor with a view to giving that creditor a preference over the other creditors of the company, would be voidable upon the application of the company’s liquidator pursuant to section 145(1) of the Companies Act, if made, incurred, taken or suffered within the six months preceding the commencement of a liquidation of the company. Such actions will be deemed to have been made with a view to giving such creditor a preference if it is a “related party” of the company. A creditor shall be treated as a related party if it has the ability to control a company or exercise significant influence over a company in making financial and operating decisions.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pPr>
            <w:r>
              <w:rPr/>
              <w:t>2.</w:t>
            </w:r>
          </w:p>
        </w:tc>
        <w:tc>
          <w:tcPr>
            <w:tcW w:w="10038" w:type="dxa"/>
            <w:tcBorders/>
            <w:vAlign w:val="center"/>
          </w:tcPr>
          <w:p>
            <w:pPr>
              <w:pStyle w:val="TableContents"/>
              <w:bidi w:val="0"/>
              <w:spacing w:before="0" w:after="283"/>
              <w:jc w:val="both"/>
              <w:rPr/>
            </w:pPr>
            <w:r>
              <w:rPr>
                <w:b/>
              </w:rPr>
              <w:t>Undervalues</w:t>
            </w:r>
            <w:r>
              <w:rPr/>
              <w:t>: Any disposition of property made at an undervalue by or on behalf of a company and with an intent to defraud its creditors (which means an intention to wilfully defeat an obligation owed to a creditor), shall be voidable (i) under section 146 of the Companies Act at the instance of the company’s official liquidator, and (ii) under the Fraudulent Dispositions Act (as amended) of the Cayman Islands, at the instance of a creditor thereby prejudiced.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pPr>
            <w:r>
              <w:rPr/>
              <w:t>3.</w:t>
            </w:r>
          </w:p>
        </w:tc>
        <w:tc>
          <w:tcPr>
            <w:tcW w:w="10037" w:type="dxa"/>
            <w:tcBorders/>
            <w:vAlign w:val="center"/>
          </w:tcPr>
          <w:p>
            <w:pPr>
              <w:pStyle w:val="TableContents"/>
              <w:bidi w:val="0"/>
              <w:spacing w:before="0" w:after="283"/>
              <w:jc w:val="both"/>
              <w:rPr/>
            </w:pPr>
            <w:r>
              <w:rPr>
                <w:b/>
              </w:rPr>
              <w:t>Defrauding Creditors</w:t>
            </w:r>
            <w:r>
              <w:rPr/>
              <w:t>: If any business of a company has been carried on with intent to defraud creditors of the company or creditors of any other person or for any fraudulent purpose, the Cayman Islands court may declare that any persons who were knowingly parties to the carrying on of the business of the company in such manner are liable to make such contributions, if any, to the company’s assets as the court thinks proper.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pPr>
            <w:r>
              <w:rPr/>
              <w:t>4.</w:t>
            </w:r>
          </w:p>
        </w:tc>
        <w:tc>
          <w:tcPr>
            <w:tcW w:w="10037" w:type="dxa"/>
            <w:tcBorders/>
            <w:vAlign w:val="center"/>
          </w:tcPr>
          <w:p>
            <w:pPr>
              <w:pStyle w:val="TableContents"/>
              <w:bidi w:val="0"/>
              <w:spacing w:before="0" w:after="283"/>
              <w:jc w:val="both"/>
              <w:rPr/>
            </w:pPr>
            <w:r>
              <w:rPr>
                <w:b/>
              </w:rPr>
              <w:t>Corporate Documents</w:t>
            </w:r>
            <w:r>
              <w:rPr/>
              <w:t>: The Registry of Companies in the Cayman Islands is not public in the sense that copies of the Constitutional Documents and information on shareholders is not publicly available and information on directors is limited. We have therefore obtained scanned copies of the corporate documents specified in Schedule 1 and relied exclusively on such scanned copies for the verification of such corporate information.</w:t>
            </w:r>
          </w:p>
        </w:tc>
      </w:tr>
    </w:tbl>
    <w:p>
      <w:pPr>
        <w:pStyle w:val="TextBody"/>
        <w:bidi w:val="0"/>
        <w:spacing w:before="0" w:after="0"/>
        <w:ind w:left="3017" w:right="165"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pPr>
            <w:r>
              <w:rPr/>
              <w:t>5.</w:t>
            </w:r>
          </w:p>
        </w:tc>
        <w:tc>
          <w:tcPr>
            <w:tcW w:w="10044" w:type="dxa"/>
            <w:tcBorders/>
            <w:vAlign w:val="center"/>
          </w:tcPr>
          <w:p>
            <w:pPr>
              <w:pStyle w:val="TableContents"/>
              <w:bidi w:val="0"/>
              <w:spacing w:before="0" w:after="283"/>
              <w:jc w:val="both"/>
              <w:rPr/>
            </w:pPr>
            <w:r>
              <w:rPr>
                <w:b/>
              </w:rPr>
              <w:t>Issue of Shares:</w:t>
            </w:r>
            <w:r>
              <w:rPr/>
              <w:t xml:space="preserve"> Based on the decision in the English case of </w:t>
            </w:r>
            <w:r>
              <w:rPr>
                <w:i/>
              </w:rPr>
              <w:t>Houldsworth v City of Glasgow Bank</w:t>
            </w:r>
            <w:r>
              <w:rPr/>
              <w:t xml:space="preserve"> (1880) 5 App Cas 317 HL, in the event of a misrepresentation by a Company on which a shareholder relied in agreeing to subscribe for shares in such Company, the shareholder may be entitled to rescind the share subscription agreement and thereafter claim damages against such Company for any additional loss suffered as a result of the misrepresentation. Such a claim for damages will not arise unless and until the shareholder has successfully rescinded the share subscription agreement. A shareholder may be barred from rescinding on the grounds of delay or affirmation and if such Company is wound up (whether voluntarily or compulsorily), such shareholder will lose the right to rescind the share subscription agreement.</w:t>
            </w:r>
          </w:p>
        </w:tc>
      </w:tr>
    </w:tbl>
    <w:p>
      <w:pPr>
        <w:pStyle w:val="TextBody"/>
        <w:bidi w:val="0"/>
        <w:spacing w:before="0" w:after="0"/>
        <w:ind w:left="3017" w:right="165" w:hanging="7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pPr>
            <w:r>
              <w:rPr/>
              <w:t>6.</w:t>
            </w:r>
          </w:p>
        </w:tc>
        <w:tc>
          <w:tcPr>
            <w:tcW w:w="10042" w:type="dxa"/>
            <w:tcBorders/>
            <w:vAlign w:val="center"/>
          </w:tcPr>
          <w:p>
            <w:pPr>
              <w:pStyle w:val="TableContents"/>
              <w:bidi w:val="0"/>
              <w:spacing w:before="0" w:after="283"/>
              <w:jc w:val="both"/>
              <w:rPr/>
            </w:pPr>
            <w:r>
              <w:rPr>
                <w:b/>
              </w:rPr>
              <w:t>Void Transactions</w:t>
            </w:r>
            <w:r>
              <w:rPr/>
              <w:t>: Pursuant to section 99 of the Companies Act, when a winding-up order has been made, any disposition of the Company’s property and any transfer of shares or alteration in the status of the Company’s members made after the commencement of the winding-up (i.e., the date when the winding-up petition was first filed) is void, unless the Grand Court of the Cayman Islands otherwise orders. In the event the allotment and issuance of the Offer Shares is rendered void because a winding-up order is made, the register of members of the Company shall revert to the position as at the date of the presentation of the winding-up petition.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28" w:name="tm2624163d1_ex8-2.htm"/>
      <w:bookmarkStart w:id="29" w:name="kstm2624163d1_ex82"/>
      <w:bookmarkEnd w:id="28"/>
      <w:bookmarkEnd w:id="29"/>
      <w:r>
        <w:rPr/>
        <w:t> </w:t>
      </w:r>
      <w:r>
        <w:br w:type="page"/>
      </w:r>
    </w:p>
    <w:p>
      <w:pPr>
        <w:pStyle w:val="TextBody"/>
        <w:bidi w:val="0"/>
        <w:jc w:val="right"/>
        <w:rPr>
          <w:b/>
        </w:rPr>
      </w:pPr>
      <w:r>
        <w:rPr>
          <w:b/>
        </w:rPr>
        <w:t>Exhibit 8.2</w:t>
      </w:r>
    </w:p>
    <w:p>
      <w:pPr>
        <w:pStyle w:val="TextBody"/>
        <w:bidi w:val="0"/>
        <w:spacing w:before="0" w:after="283"/>
        <w:jc w:val="left"/>
        <w:rPr/>
      </w:pPr>
      <w:r>
        <w:rPr/>
        <w:t> </w:t>
      </w:r>
    </w:p>
    <w:p>
      <w:pPr>
        <w:pStyle w:val="TextBody"/>
        <w:bidi w:val="0"/>
        <w:jc w:val="right"/>
        <w:rPr/>
      </w:pPr>
      <w:r>
        <w:rPr/>
        <w:drawing>
          <wp:inline distT="0" distB="0" distL="0" distR="0">
            <wp:extent cx="2381250" cy="790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6"/>
                    <a:stretch>
                      <a:fillRect/>
                    </a:stretch>
                  </pic:blipFill>
                  <pic:spPr bwMode="auto">
                    <a:xfrm>
                      <a:off x="0" y="0"/>
                      <a:ext cx="2381250" cy="7905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ANLI Partners Law Offices, LLP (Tianjin)</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Baosheng Media Group Holdings Limited</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Floor 5, Building No. 8, Xishanhui Shijingshan District, Beijing 100041 People’s Republic of China +86-010-82088021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or 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PRC counsel to Baosheng Media Group Holdings Limited (the “Company”), an exempted company with limited liability incorporated under the laws of the Cayman Islands. We understand that a Registration Statement on Form F-3 was filed by the Company with the U.S. Securities and Exchange Commission (the “SEC”) in September 3, 2026, including the preliminary prospectus contained therein (the “Prospectus”), with regard to the Company’s offering and sale of up to US$300,000,000 of securities including ordinary shares, debt securities, warrants, rights and units in one or more offerings (the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reaching the opinion set forth below, we have assumed the conformity to original documents of all copies submitted to us by the Company as certified, conformed or photostatic copies and the authenticity of the originals of such documents, and we have relied as to factual matters on representations made by the Company in the documents, instruments and certificates delivered to us in connection with the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assumptions and qualifications set forth herein, it is our opinion that, as of the date of this letter: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both"/>
              <w:rPr/>
            </w:pPr>
            <w:r>
              <w:rPr/>
              <w:t>The Company is required to go through filing procedures through its major operating entity incorporated in the PRC with the China Securities Regulatory Commission (the “CSRC”) within three (3) working days after the completion of an offering pursuant to the Prospectus or any accompanying prospectus supplement, and prepare a summary report to the CSRC after the completion of all Offerings under this Prospectus (the “Filing for the Offerings”).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2.</w:t>
            </w:r>
          </w:p>
        </w:tc>
        <w:tc>
          <w:tcPr>
            <w:tcW w:w="10012" w:type="dxa"/>
            <w:tcBorders/>
            <w:vAlign w:val="center"/>
          </w:tcPr>
          <w:p>
            <w:pPr>
              <w:pStyle w:val="TableContents"/>
              <w:bidi w:val="0"/>
              <w:spacing w:before="0" w:after="283"/>
              <w:jc w:val="both"/>
              <w:rPr/>
            </w:pPr>
            <w:r>
              <w:rPr/>
              <w:t>Other than the CSRC Filing for the Offerings, the Company and its PRC subsidiaries, (1) are not required to obtain permissions from the CSRC, and (2) have not been required to obtain nor have been denied any permissions by CSRC in connection with any offering made pursuant to this Prospectus or any accompanying prospectus supplement.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3.</w:t>
            </w:r>
          </w:p>
        </w:tc>
        <w:tc>
          <w:tcPr>
            <w:tcW w:w="10014" w:type="dxa"/>
            <w:tcBorders/>
            <w:vAlign w:val="center"/>
          </w:tcPr>
          <w:p>
            <w:pPr>
              <w:pStyle w:val="TableContents"/>
              <w:bidi w:val="0"/>
              <w:spacing w:before="0" w:after="283"/>
              <w:jc w:val="both"/>
              <w:rPr/>
            </w:pPr>
            <w:r>
              <w:rPr/>
              <w:t>According to the company's statement, the number of personal information users currently processed by the company in China does not exceed one million. Therefore, the company and its Chinese subsidiaries are not currently subject to cybersecurity review under the Cybersecurity Review Measures issued by the Cyberspace Administration of China ("CAC") effective as of February 15,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742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7"/>
                    <a:stretch>
                      <a:fillRect/>
                    </a:stretch>
                  </pic:blipFill>
                  <pic:spPr bwMode="auto">
                    <a:xfrm>
                      <a:off x="0" y="0"/>
                      <a:ext cx="8096250" cy="742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381250" cy="790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8"/>
                    <a:stretch>
                      <a:fillRect/>
                    </a:stretch>
                  </pic:blipFill>
                  <pic:spPr bwMode="auto">
                    <a:xfrm>
                      <a:off x="0" y="0"/>
                      <a:ext cx="2381250" cy="790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4.</w:t>
            </w:r>
          </w:p>
        </w:tc>
        <w:tc>
          <w:tcPr>
            <w:tcW w:w="10019" w:type="dxa"/>
            <w:tcBorders/>
            <w:vAlign w:val="center"/>
          </w:tcPr>
          <w:p>
            <w:pPr>
              <w:pStyle w:val="TableContents"/>
              <w:bidi w:val="0"/>
              <w:spacing w:before="0" w:after="283"/>
              <w:jc w:val="both"/>
              <w:rPr/>
            </w:pPr>
            <w:r>
              <w:rPr/>
              <w:t>As stated by the company, neither the company nor its Chinese subsidiaries currently process personal information from more than one million users, nor do they handle data that affects or may affect national security. Furthermore, it is expected that in the foreseeable future, they will neither process personal information from more than one million users nor handle data that affects or may affect national security. As a result, they are currently not subject to the cybersecurity review provisions under the Network Data Security Management Regulations, which took effect on January 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5.</w:t>
            </w:r>
          </w:p>
        </w:tc>
        <w:tc>
          <w:tcPr>
            <w:tcW w:w="10019" w:type="dxa"/>
            <w:tcBorders/>
            <w:vAlign w:val="center"/>
          </w:tcPr>
          <w:p>
            <w:pPr>
              <w:pStyle w:val="TableContents"/>
              <w:bidi w:val="0"/>
              <w:spacing w:before="0" w:after="283"/>
              <w:jc w:val="both"/>
              <w:rPr/>
            </w:pPr>
            <w:r>
              <w:rPr/>
              <w:t>Based on the Measures for the Security Assessment of Outbound Data Transfer and relevant supporting rules, the Company and its PRC subsidiaries currently are not required to conduct data export security assessment, personal information protection certification or enter into standard contractual arrangements for cross-border data transfer, given that the Company stated the Company and its PRC subsidiaries does not currently transfer personal information or important data out of China and does not expect to reach the relevant statutory thresholds in the foreseeable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concerning the laws of any jurisdiction other than PRC law. The opinions expressed herein are given as of the date hereof and we undertake no obligation and hereby disclaim any obligation to advise you of any change after the date of this opinion pertaining to any matter referred to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together with the Registration Statement and any subsequent amendments to the Registration Statement and to the use of our name and to the reference to our firm in the Registration Statement and any subsequent amendments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ANLI Partners Law Offices, LLP (Tianjin)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752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9"/>
                    <a:stretch>
                      <a:fillRect/>
                    </a:stretch>
                  </pic:blipFill>
                  <pic:spPr bwMode="auto">
                    <a:xfrm>
                      <a:off x="0" y="0"/>
                      <a:ext cx="8096250" cy="7524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0" w:name="tm2624163d1_ex23-1.htm"/>
      <w:bookmarkStart w:id="31" w:name="kstm2624163d1_ex231"/>
      <w:bookmarkEnd w:id="30"/>
      <w:bookmarkEnd w:id="31"/>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jc w:val="center"/>
        <w:rPr/>
      </w:pPr>
      <w:r>
        <w:rPr/>
        <w:drawing>
          <wp:inline distT="0" distB="0" distL="0" distR="0">
            <wp:extent cx="2313305" cy="39306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30"/>
                    <a:stretch>
                      <a:fillRect/>
                    </a:stretch>
                  </pic:blipFill>
                  <pic:spPr bwMode="auto">
                    <a:xfrm>
                      <a:off x="0" y="0"/>
                      <a:ext cx="2313305" cy="39306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F-3 of Baosheng Media Group Holdings Limited (the “Company”) of our report dated April 30, 2026, relating to the consolidated balance sheet of the Company as of December 31, 2025, and the related consolidated statements of operations and comprehensive loss, changes in shareholders’ equity, and cash flows for the year then ended, and the related notes, included in Baosheng Media Group Holdings Limited’s Annual Report on Form 20-F for the year ended December 31, 2025, filed with the Securities and Exchange Commission on 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GGF CPA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GGF CPA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2729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shd w:fill="FFFFFF" w:val="clear"/>
        <w:bidi w:val="0"/>
        <w:spacing w:before="0" w:after="0"/>
        <w:ind w:left="360" w:right="0" w:hanging="360"/>
        <w:jc w:val="both"/>
        <w:rPr>
          <w:caps w:val="false"/>
          <w:smallCaps w:val="false"/>
        </w:rPr>
      </w:pPr>
      <w:bookmarkStart w:id="32" w:name="tm2624163d1_ex23-2.htm"/>
      <w:bookmarkStart w:id="33" w:name="kstm2624163d1_ex232"/>
      <w:bookmarkEnd w:id="32"/>
      <w:bookmarkEnd w:id="33"/>
      <w:r>
        <w:rPr>
          <w:caps w:val="false"/>
          <w:smallCaps w:val="false"/>
        </w:rPr>
        <w:t> </w:t>
      </w:r>
      <w:r>
        <w:br w:type="page"/>
      </w:r>
    </w:p>
    <w:p>
      <w:pPr>
        <w:pStyle w:val="TextBody"/>
        <w:shd w:fill="FFFFFF" w:val="clear"/>
        <w:bidi w:val="0"/>
        <w:spacing w:before="0" w:after="0"/>
        <w:ind w:left="360" w:right="0" w:hanging="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shd w:fill="FFFFFF" w:val="clear"/>
        <w:bidi w:val="0"/>
        <w:spacing w:before="0" w:after="0"/>
        <w:ind w:left="360" w:right="0" w:hanging="360"/>
        <w:jc w:val="both"/>
        <w:rPr>
          <w:caps w:val="false"/>
          <w:smallCaps w:val="false"/>
        </w:rPr>
      </w:pPr>
      <w:r>
        <w:rPr>
          <w:caps w:val="false"/>
          <w:smallCaps w:val="false"/>
        </w:rPr>
        <w:t> </w:t>
      </w:r>
    </w:p>
    <w:p>
      <w:pPr>
        <w:pStyle w:val="TextBody"/>
        <w:shd w:fill="FFFFFF" w:val="clear"/>
        <w:bidi w:val="0"/>
        <w:spacing w:before="0" w:after="0"/>
        <w:ind w:left="360" w:right="0" w:hanging="360"/>
        <w:jc w:val="both"/>
        <w:rPr>
          <w:caps w:val="false"/>
          <w:smallCaps w:val="false"/>
        </w:rPr>
      </w:pPr>
      <w:r>
        <w:rPr>
          <w:caps w:val="false"/>
          <w:smallCaps w:val="false"/>
        </w:rPr>
        <w:drawing>
          <wp:inline distT="0" distB="0" distL="0" distR="0">
            <wp:extent cx="2352675" cy="1095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31"/>
                    <a:stretch>
                      <a:fillRect/>
                    </a:stretch>
                  </pic:blipFill>
                  <pic:spPr bwMode="auto">
                    <a:xfrm>
                      <a:off x="0" y="0"/>
                      <a:ext cx="2352675" cy="1095375"/>
                    </a:xfrm>
                    <a:prstGeom prst="rect">
                      <a:avLst/>
                    </a:prstGeom>
                  </pic:spPr>
                </pic:pic>
              </a:graphicData>
            </a:graphic>
          </wp:inline>
        </w:drawing>
      </w:r>
      <w:r>
        <w:rPr>
          <w:caps w:val="false"/>
          <w:smallCaps w:val="false"/>
        </w:rPr>
        <w:t> </w:t>
      </w:r>
    </w:p>
    <w:p>
      <w:pPr>
        <w:pStyle w:val="TextBody"/>
        <w:shd w:fill="FFFFFF" w:val="clear"/>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of Baosheng Media Group Holdings Limited on Form F-3 of our report dated April 29, 2025, with respect to the consolidated balance sheet of Baosheng Media Group Holdings Limited and its subsidiaries as of December 31, 2024 and the related consolidated statements of operations and comprehensive loss, changes in shareholders’ equity, and cash flows for the years ended December 31, 2024 and 2023, which report is included in the Company’s Annual Report on Form 20-F for the year ended December 31, 2025. We were dismissed as auditors on July 25, 2025 and, accordingly, we have not performed any audit or review procedures with respect to any financial statements included in such Annual Report for the periods after the date of our dismissal.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YCM CPA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PCAOB ID 6781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03,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4" w:name="tm2624163d1_ex-filingfees.htm"/>
      <w:bookmarkStart w:id="35" w:name="kstm2624163d1_exfilingfees"/>
      <w:bookmarkStart w:id="36" w:name="tm2624163d1_ex-filingfees.htm"/>
      <w:bookmarkStart w:id="37" w:name="kstm2624163d1_exfilingfees"/>
      <w:bookmarkEnd w:id="36"/>
      <w:bookmarkEnd w:id="37"/>
      <w:r>
        <w:br w:type="page"/>
      </w:r>
    </w:p>
    <w:tbl>
      <w:tblPr>
        <w:tblW w:w="4160" w:type="dxa"/>
        <w:jc w:val="left"/>
        <w:tblInd w:w="0" w:type="dxa"/>
        <w:tblLayout w:type="fixed"/>
        <w:tblCellMar>
          <w:top w:w="28" w:type="dxa"/>
          <w:left w:w="28" w:type="dxa"/>
          <w:bottom w:w="28" w:type="dxa"/>
          <w:right w:w="28" w:type="dxa"/>
        </w:tblCellMar>
      </w:tblPr>
      <w:tblGrid>
        <w:gridCol w:w="4006"/>
        <w:gridCol w:w="154"/>
      </w:tblGrid>
      <w:tr>
        <w:trPr/>
        <w:tc>
          <w:tcPr>
            <w:tcW w:w="416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006" w:type="dxa"/>
            <w:tcBorders/>
            <w:vAlign w:val="center"/>
          </w:tcPr>
          <w:p>
            <w:pPr>
              <w:pStyle w:val="TableContents"/>
              <w:bidi w:val="0"/>
              <w:spacing w:before="0" w:after="283"/>
              <w:jc w:val="left"/>
              <w:rPr>
                <w:b/>
              </w:rPr>
            </w:pPr>
            <w:r>
              <w:rPr>
                <w:b/>
              </w:rPr>
              <w:t xml:space="preserve">F-3 </w:t>
            </w:r>
          </w:p>
        </w:tc>
        <w:tc>
          <w:tcPr>
            <w:tcW w:w="154" w:type="dxa"/>
            <w:tcBorders/>
          </w:tcPr>
          <w:p>
            <w:pPr>
              <w:pStyle w:val="TableContents"/>
              <w:bidi w:val="0"/>
              <w:spacing w:before="0" w:after="283"/>
              <w:jc w:val="left"/>
              <w:rPr>
                <w:sz w:val="4"/>
                <w:szCs w:val="4"/>
              </w:rPr>
            </w:pPr>
            <w:r>
              <w:rPr>
                <w:sz w:val="4"/>
                <w:szCs w:val="4"/>
              </w:rPr>
            </w:r>
          </w:p>
        </w:tc>
      </w:tr>
      <w:tr>
        <w:trPr/>
        <w:tc>
          <w:tcPr>
            <w:tcW w:w="4006" w:type="dxa"/>
            <w:tcBorders/>
            <w:vAlign w:val="center"/>
          </w:tcPr>
          <w:p>
            <w:pPr>
              <w:pStyle w:val="TableContents"/>
              <w:bidi w:val="0"/>
              <w:spacing w:before="0" w:after="283"/>
              <w:jc w:val="left"/>
              <w:rPr>
                <w:b/>
              </w:rPr>
            </w:pPr>
            <w:r>
              <w:rPr>
                <w:b/>
              </w:rPr>
              <w:t xml:space="preserve">Baosheng Media Group Holdings Ltd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84" w:type="dxa"/>
        <w:jc w:val="left"/>
        <w:tblInd w:w="0" w:type="dxa"/>
        <w:tblLayout w:type="fixed"/>
        <w:tblCellMar>
          <w:top w:w="28" w:type="dxa"/>
          <w:left w:w="28" w:type="dxa"/>
          <w:bottom w:w="28" w:type="dxa"/>
          <w:right w:w="28" w:type="dxa"/>
        </w:tblCellMar>
      </w:tblPr>
      <w:tblGrid>
        <w:gridCol w:w="1126"/>
        <w:gridCol w:w="226"/>
        <w:gridCol w:w="1246"/>
        <w:gridCol w:w="102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Ordinary Shares, par value $0.0096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$ 200,172,366.38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$ 27,643.80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Ordinary Shares, par value $0.0096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F-3 </w:t>
            </w:r>
          </w:p>
        </w:tc>
        <w:tc>
          <w:tcPr>
            <w:tcW w:w="1021" w:type="dxa"/>
            <w:tcBorders/>
            <w:shd w:fill="E7E7E2" w:val="clear"/>
            <w:vAlign w:val="center"/>
          </w:tcPr>
          <w:p>
            <w:pPr>
              <w:pStyle w:val="TableContents"/>
              <w:bidi w:val="0"/>
              <w:spacing w:before="0" w:after="283"/>
              <w:jc w:val="center"/>
              <w:rPr/>
            </w:pPr>
            <w:r>
              <w:rPr/>
              <w:t xml:space="preserve">333-273720 </w:t>
            </w:r>
          </w:p>
        </w:tc>
        <w:tc>
          <w:tcPr>
            <w:tcW w:w="1021" w:type="dxa"/>
            <w:tcBorders/>
            <w:shd w:fill="E7E7E2" w:val="clear"/>
            <w:vAlign w:val="center"/>
          </w:tcPr>
          <w:p>
            <w:pPr>
              <w:pStyle w:val="TableContents"/>
              <w:bidi w:val="0"/>
              <w:spacing w:before="0" w:after="283"/>
              <w:jc w:val="center"/>
              <w:rPr/>
            </w:pPr>
            <w:r>
              <w:rPr/>
              <w:t xml:space="preserve">09/26/2023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F-3 </w:t>
            </w:r>
          </w:p>
        </w:tc>
        <w:tc>
          <w:tcPr>
            <w:tcW w:w="1021" w:type="dxa"/>
            <w:tcBorders/>
            <w:shd w:fill="E7E7E2" w:val="clear"/>
            <w:vAlign w:val="center"/>
          </w:tcPr>
          <w:p>
            <w:pPr>
              <w:pStyle w:val="TableContents"/>
              <w:bidi w:val="0"/>
              <w:spacing w:before="0" w:after="283"/>
              <w:jc w:val="center"/>
              <w:rPr/>
            </w:pPr>
            <w:r>
              <w:rPr/>
              <w:t xml:space="preserve">333-273720 </w:t>
            </w:r>
          </w:p>
        </w:tc>
        <w:tc>
          <w:tcPr>
            <w:tcW w:w="1021" w:type="dxa"/>
            <w:tcBorders/>
            <w:shd w:fill="E7E7E2" w:val="clear"/>
            <w:vAlign w:val="center"/>
          </w:tcPr>
          <w:p>
            <w:pPr>
              <w:pStyle w:val="TableContents"/>
              <w:bidi w:val="0"/>
              <w:spacing w:before="0" w:after="283"/>
              <w:jc w:val="center"/>
              <w:rPr/>
            </w:pPr>
            <w:r>
              <w:rPr/>
              <w:t xml:space="preserve">09/26/2023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F-3 </w:t>
            </w:r>
          </w:p>
        </w:tc>
        <w:tc>
          <w:tcPr>
            <w:tcW w:w="1021" w:type="dxa"/>
            <w:tcBorders/>
            <w:shd w:fill="E7E7E2" w:val="clear"/>
            <w:vAlign w:val="center"/>
          </w:tcPr>
          <w:p>
            <w:pPr>
              <w:pStyle w:val="TableContents"/>
              <w:bidi w:val="0"/>
              <w:spacing w:before="0" w:after="283"/>
              <w:jc w:val="center"/>
              <w:rPr/>
            </w:pPr>
            <w:r>
              <w:rPr/>
              <w:t xml:space="preserve">333-273720 </w:t>
            </w:r>
          </w:p>
        </w:tc>
        <w:tc>
          <w:tcPr>
            <w:tcW w:w="1021" w:type="dxa"/>
            <w:tcBorders/>
            <w:shd w:fill="E7E7E2" w:val="clear"/>
            <w:vAlign w:val="center"/>
          </w:tcPr>
          <w:p>
            <w:pPr>
              <w:pStyle w:val="TableContents"/>
              <w:bidi w:val="0"/>
              <w:spacing w:before="0" w:after="283"/>
              <w:jc w:val="center"/>
              <w:rPr/>
            </w:pPr>
            <w:r>
              <w:rPr/>
              <w:t xml:space="preserve">09/26/2023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Rights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F-3 </w:t>
            </w:r>
          </w:p>
        </w:tc>
        <w:tc>
          <w:tcPr>
            <w:tcW w:w="1021" w:type="dxa"/>
            <w:tcBorders/>
            <w:shd w:fill="E7E7E2" w:val="clear"/>
            <w:vAlign w:val="center"/>
          </w:tcPr>
          <w:p>
            <w:pPr>
              <w:pStyle w:val="TableContents"/>
              <w:bidi w:val="0"/>
              <w:spacing w:before="0" w:after="283"/>
              <w:jc w:val="center"/>
              <w:rPr/>
            </w:pPr>
            <w:r>
              <w:rPr/>
              <w:t xml:space="preserve">333-273720 </w:t>
            </w:r>
          </w:p>
        </w:tc>
        <w:tc>
          <w:tcPr>
            <w:tcW w:w="1021" w:type="dxa"/>
            <w:tcBorders/>
            <w:shd w:fill="E7E7E2" w:val="clear"/>
            <w:vAlign w:val="center"/>
          </w:tcPr>
          <w:p>
            <w:pPr>
              <w:pStyle w:val="TableContents"/>
              <w:bidi w:val="0"/>
              <w:spacing w:before="0" w:after="283"/>
              <w:jc w:val="center"/>
              <w:rPr/>
            </w:pPr>
            <w:r>
              <w:rPr/>
              <w:t xml:space="preserve">09/26/2023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F-3 </w:t>
            </w:r>
          </w:p>
        </w:tc>
        <w:tc>
          <w:tcPr>
            <w:tcW w:w="1021" w:type="dxa"/>
            <w:tcBorders/>
            <w:shd w:fill="E7E7E2" w:val="clear"/>
            <w:vAlign w:val="center"/>
          </w:tcPr>
          <w:p>
            <w:pPr>
              <w:pStyle w:val="TableContents"/>
              <w:bidi w:val="0"/>
              <w:spacing w:before="0" w:after="283"/>
              <w:jc w:val="center"/>
              <w:rPr/>
            </w:pPr>
            <w:r>
              <w:rPr/>
              <w:t xml:space="preserve">333-273720 </w:t>
            </w:r>
          </w:p>
        </w:tc>
        <w:tc>
          <w:tcPr>
            <w:tcW w:w="1021" w:type="dxa"/>
            <w:tcBorders/>
            <w:shd w:fill="E7E7E2" w:val="clear"/>
            <w:vAlign w:val="center"/>
          </w:tcPr>
          <w:p>
            <w:pPr>
              <w:pStyle w:val="TableContents"/>
              <w:bidi w:val="0"/>
              <w:spacing w:before="0" w:after="283"/>
              <w:jc w:val="center"/>
              <w:rPr/>
            </w:pPr>
            <w:r>
              <w:rPr/>
              <w:t xml:space="preserve">09/26/2023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2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$ 99,827,633.62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F-3 </w:t>
            </w:r>
          </w:p>
        </w:tc>
        <w:tc>
          <w:tcPr>
            <w:tcW w:w="1021" w:type="dxa"/>
            <w:tcBorders/>
            <w:shd w:fill="E7E7E2" w:val="clear"/>
            <w:vAlign w:val="center"/>
          </w:tcPr>
          <w:p>
            <w:pPr>
              <w:pStyle w:val="TableContents"/>
              <w:bidi w:val="0"/>
              <w:spacing w:before="0" w:after="283"/>
              <w:jc w:val="center"/>
              <w:rPr/>
            </w:pPr>
            <w:r>
              <w:rPr/>
              <w:t xml:space="preserve">333-273720 </w:t>
            </w:r>
          </w:p>
        </w:tc>
        <w:tc>
          <w:tcPr>
            <w:tcW w:w="1021" w:type="dxa"/>
            <w:tcBorders/>
            <w:shd w:fill="E7E7E2" w:val="clear"/>
            <w:vAlign w:val="center"/>
          </w:tcPr>
          <w:p>
            <w:pPr>
              <w:pStyle w:val="TableContents"/>
              <w:bidi w:val="0"/>
              <w:spacing w:before="0" w:after="283"/>
              <w:jc w:val="center"/>
              <w:rPr/>
            </w:pPr>
            <w:r>
              <w:rPr/>
              <w:t xml:space="preserve">09/26/2023 </w:t>
            </w:r>
          </w:p>
        </w:tc>
        <w:tc>
          <w:tcPr>
            <w:tcW w:w="1321" w:type="dxa"/>
            <w:tcBorders/>
            <w:shd w:fill="E7E7E2" w:val="clear"/>
            <w:vAlign w:val="center"/>
          </w:tcPr>
          <w:p>
            <w:pPr>
              <w:pStyle w:val="TableContents"/>
              <w:bidi w:val="0"/>
              <w:spacing w:before="0" w:after="283"/>
              <w:jc w:val="right"/>
              <w:rPr/>
            </w:pPr>
            <w:r>
              <w:rPr/>
              <w:t xml:space="preserve">$ 0.00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8" w:name="MaxAggtOfferingPrice"/>
            <w:bookmarkEnd w:id="38"/>
            <w:r>
              <w:rPr/>
              <w:t xml:space="preserve">$ 300,000,000.00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9" w:name="TotalFeeAmt"/>
            <w:bookmarkEnd w:id="39"/>
            <w:r>
              <w:rPr/>
              <w:t xml:space="preserve">$ 27,643.80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PreviouslyPaid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TotalOffset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2" w:name="NetFeeAmt"/>
            <w:bookmarkEnd w:id="42"/>
            <w:r>
              <w:rPr/>
              <w:t xml:space="preserve">$ 27,643.80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451"/>
        <w:gridCol w:w="8557"/>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The registrant is registering an indeterminate number of securities for offer and sale from time to time at indeterminate prices, which shall have an aggregate offering price not to exceed $300,000,000.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 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F-3 under the Securities Act. Estimated solely for the purpose of computing the amount of the registration fee pursuant to Rule 457(o) under the Securities Act. </w:t>
            </w:r>
          </w:p>
        </w:tc>
      </w:tr>
      <w:tr>
        <w:trPr/>
        <w:tc>
          <w:tcPr>
            <w:tcW w:w="1648" w:type="dxa"/>
            <w:gridSpan w:val="2"/>
            <w:tcBorders/>
            <w:vAlign w:val="center"/>
          </w:tcPr>
          <w:p>
            <w:pPr>
              <w:pStyle w:val="HorizontalLine"/>
              <w:pBdr>
                <w:bottom w:val="double" w:sz="2" w:space="0" w:color="808080"/>
              </w:pBdr>
              <w:bidi w:val="0"/>
              <w:spacing w:before="0" w:after="283"/>
              <w:jc w:val="left"/>
              <w:rPr/>
            </w:pPr>
            <w:r>
              <w:rPr/>
            </w:r>
          </w:p>
        </w:tc>
        <w:tc>
          <w:tcPr>
            <w:tcW w:w="8557" w:type="dxa"/>
            <w:tcBorders/>
          </w:tcPr>
          <w:p>
            <w:pPr>
              <w:pStyle w:val="TableContents"/>
              <w:bidi w:val="0"/>
              <w:spacing w:before="0" w:after="283"/>
              <w:jc w:val="left"/>
              <w:rPr>
                <w:sz w:val="4"/>
                <w:szCs w:val="4"/>
              </w:rPr>
            </w:pPr>
            <w:r>
              <w:rPr>
                <w:sz w:val="4"/>
                <w:szCs w:val="4"/>
              </w:rPr>
            </w:r>
          </w:p>
        </w:tc>
      </w:tr>
      <w:tr>
        <w:trPr/>
        <w:tc>
          <w:tcPr>
            <w:tcW w:w="197"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8" w:type="dxa"/>
            <w:gridSpan w:val="2"/>
            <w:tcBorders/>
            <w:vAlign w:val="center"/>
          </w:tcPr>
          <w:p>
            <w:pPr>
              <w:pStyle w:val="TableContents"/>
              <w:bidi w:val="0"/>
              <w:spacing w:before="0" w:after="283"/>
              <w:jc w:val="left"/>
              <w:rPr/>
            </w:pPr>
            <w:r>
              <w:rPr/>
              <w:t xml:space="preserve">The registrant is registering an indeterminate number of securities for offer and sale from time to time at indeterminate prices, which shall have an aggregate offering price not to exceed $300,000,000.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 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F-3 under the Securities Act. Estimated solely for the purpose of computing the amount of the registration fee pursuant to Rule 457(o) under the Securities Act. Pursuant to Rule 415(a)(6) under the Securities Act, the registrant hereby carries forward the unsold securities previously registered with a proposed maximum aggregate offering price of $99,827,633.62 (the "Carry Forward Securities") under the registrant's prior registration statement on Form F-3 (File No. 333-273720) filed with the Securities and Exchange Commission on August 4, 2023 and declared effective on September 26, 2023 (the "Prior Registration Statement"). The Prior Registration Statement registered securities for a maximum aggregate offering price of $100,000,000, and of that amount the registrant has previously sold securities for an aggregate offering price of $172,366.38, leaving a balance of unsold securities with an aggregate offering price of $99,827,633.62. In connection with the filing of the Prior Registration Statement, the registrant paid a filing fee of $11,415.13. Of this amount, $11,001.01 is associated with the Carry Forward Securities (based on the filing fee rate in effect at the time of the filing of the Prior Registration Statement), calculated in accordance with Rule 457(o) under the Securities Act. The filing fees associated with the Carry Forward Securities are hereby carried forward to be applied to the Carry Forward Securities registered hereunder, and no additional filing fee is due with respect to the Carry Forward Securities in connection with the filing of this registration statement. To the extent that, after the filing date hereof and prior to the effectiveness of this registration statement, the registrant sells any Carry Forward Securities pursuant to the Prior Registration Statement, the registrant will identify in a pre-effective amendment to this registration statement the updated number of Carry Forward Securities from the Prior Registration Statement to be included in this registration statement pursuant to Rule 415(a)(6) and the updated amount of new securities to be registered on this registration statement. Pursuant to Rule 415(a)(6), the offering of the Carry Forward Securities under the Prior Registration Statement will be deemed terminated as of the date of effectiveness of this registration statement. </w:t>
            </w:r>
          </w:p>
        </w:tc>
      </w:tr>
      <w:tr>
        <w:trPr/>
        <w:tc>
          <w:tcPr>
            <w:tcW w:w="1648" w:type="dxa"/>
            <w:gridSpan w:val="2"/>
            <w:tcBorders/>
            <w:vAlign w:val="center"/>
          </w:tcPr>
          <w:p>
            <w:pPr>
              <w:pStyle w:val="HorizontalLine"/>
              <w:pBdr>
                <w:bottom w:val="double" w:sz="2" w:space="0" w:color="808080"/>
              </w:pBdr>
              <w:bidi w:val="0"/>
              <w:spacing w:before="0" w:after="283"/>
              <w:jc w:val="left"/>
              <w:rPr/>
            </w:pPr>
            <w:r>
              <w:rPr/>
            </w:r>
          </w:p>
        </w:tc>
        <w:tc>
          <w:tcPr>
            <w:tcW w:w="855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811216/000110465926053161/baos-20251231x20f.htm" TargetMode="External"/><Relationship Id="rId5" Type="http://schemas.openxmlformats.org/officeDocument/2006/relationships/hyperlink" Target="https://www.sec.gov/Archives/edgar/data/1811216/000110465926062917/tm2614879d1_6k.htm" TargetMode="External"/><Relationship Id="rId6" Type="http://schemas.openxmlformats.org/officeDocument/2006/relationships/hyperlink" Target="https://www.sec.gov/Archives/edgar/data/1811216/000110465926070574/tm2616918d1_6k.htm" TargetMode="External"/><Relationship Id="rId7" Type="http://schemas.openxmlformats.org/officeDocument/2006/relationships/hyperlink" Target="https://www.sec.gov/Archives/edgar/data/1811216/000110465926072407/tm2617068d1_6k.htm" TargetMode="External"/><Relationship Id="rId8" Type="http://schemas.openxmlformats.org/officeDocument/2006/relationships/hyperlink" Target="https://www.sec.gov/Archives/edgar/data/1811216/000110465926082289/tm2619932d3_6k.htm" TargetMode="External"/><Relationship Id="rId9" Type="http://schemas.openxmlformats.org/officeDocument/2006/relationships/hyperlink" Target="https://www.sec.gov/Archives/edgar/data/1811216/000110465926083051/tm2619932d2_6k.htm" TargetMode="External"/><Relationship Id="rId10" Type="http://schemas.openxmlformats.org/officeDocument/2006/relationships/hyperlink" Target="https://www.sec.gov/Archives/edgar/data/1811216/000110465926083672/tm2620497d1_6k.htm" TargetMode="External"/><Relationship Id="rId11" Type="http://schemas.openxmlformats.org/officeDocument/2006/relationships/hyperlink" Target="https://www.sec.gov/Archives/edgar/data/1811216/000110465926084927/tm2620758d1_6k.htm" TargetMode="External"/><Relationship Id="rId12" Type="http://schemas.openxmlformats.org/officeDocument/2006/relationships/hyperlink" Target="https://www.sec.gov/Archives/edgar/data/1811216/000110465926094112/tm2622877d1_6k.htm" TargetMode="External"/><Relationship Id="rId13" Type="http://schemas.openxmlformats.org/officeDocument/2006/relationships/hyperlink" Target="https://www.sec.gov/Archives/edgar/data/1811216/000110465926098402/tm2622290d2_6k.htm" TargetMode="External"/><Relationship Id="rId14" Type="http://schemas.openxmlformats.org/officeDocument/2006/relationships/hyperlink" Target="https://www.sec.gov/Archives/edgar/data/1811216/000110465926099165/tm2623714d1_6k.htm" TargetMode="External"/><Relationship Id="rId15" Type="http://schemas.openxmlformats.org/officeDocument/2006/relationships/hyperlink" Target="https://www.sec.gov/Archives/edgar/data/1811216/000110465926100823/tm2623916d1_6k.htm" TargetMode="External"/><Relationship Id="rId16" Type="http://schemas.openxmlformats.org/officeDocument/2006/relationships/hyperlink" Target="https://www.sec.gov/Archives/edgar/data/1811216/000110465926102171/tm2622290d1_6k.htm" TargetMode="External"/><Relationship Id="rId17" Type="http://schemas.openxmlformats.org/officeDocument/2006/relationships/hyperlink" Target="https://www.sec.gov/Archives/edgar/data/1811216/000110465926104754/tm2624638d1_6k.htm" TargetMode="External"/><Relationship Id="rId18" Type="http://schemas.openxmlformats.org/officeDocument/2006/relationships/hyperlink" Target="https://www.sec.gov/Archives/edgar/data/1811216/000110465926104779/tm2624137d1_6k.htm" TargetMode="External"/><Relationship Id="rId19" Type="http://schemas.openxmlformats.org/officeDocument/2006/relationships/hyperlink" Target="https://www.sec.gov/Archives/edgar/data/1811216/000110465921010221/tm214907d1_8a12b.htm" TargetMode="External"/><Relationship Id="rId20" Type="http://schemas.openxmlformats.org/officeDocument/2006/relationships/hyperlink" Target="https://www.sec.gov/Archives/edgar/data/1811216/000110465921010221/tm214907d1_8a12b.htm" TargetMode="External"/><Relationship Id="rId21" Type="http://schemas.openxmlformats.org/officeDocument/2006/relationships/hyperlink" Target="https://www.sec.gov/Archives/edgar/data/1811216/000141057824000864/baos-20231231xex1d1.htm" TargetMode="External"/><Relationship Id="rId22" Type="http://schemas.openxmlformats.org/officeDocument/2006/relationships/hyperlink" Target="https://www.sec.gov/Archives/edgar/data/1811216/000141057824000864/baos-20231231xex1d1.htm" TargetMode="External"/><Relationship Id="rId23" Type="http://schemas.openxmlformats.org/officeDocument/2006/relationships/hyperlink" Target="https://www.sec.gov/Archives/edgar/data/1811216/000141057823000924/baos-20221231xex2d1.htm" TargetMode="External"/><Relationship Id="rId24" Type="http://schemas.openxmlformats.org/officeDocument/2006/relationships/hyperlink" Target="https://www.sec.gov/Archives/edgar/data/1811216/000141057823000924/baos-20221231xex2d1.htm" TargetMode="External"/><Relationship Id="rId25" Type="http://schemas.openxmlformats.org/officeDocument/2006/relationships/image" Target="media/image3.jpeg"/><Relationship Id="rId26" Type="http://schemas.openxmlformats.org/officeDocument/2006/relationships/image" Target="media/image4.jpeg"/><Relationship Id="rId27" Type="http://schemas.openxmlformats.org/officeDocument/2006/relationships/image" Target="media/image5.jpeg"/><Relationship Id="rId28" Type="http://schemas.openxmlformats.org/officeDocument/2006/relationships/image" Target="media/image4.jpeg"/><Relationship Id="rId29" Type="http://schemas.openxmlformats.org/officeDocument/2006/relationships/image" Target="media/image6.jpeg"/><Relationship Id="rId30" Type="http://schemas.openxmlformats.org/officeDocument/2006/relationships/image" Target="media/image7.jpeg"/><Relationship Id="rId31" Type="http://schemas.openxmlformats.org/officeDocument/2006/relationships/image" Target="media/image8.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41884</Words>
  <Characters>220983</Characters>
  <CharactersWithSpaces>263161</CharactersWithSpaces>
  <Paragraphs>3385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