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caps w:val="false"/>
          <w:smallCaps w:val="false"/>
        </w:rPr>
      </w:pPr>
      <w:bookmarkStart w:id="0" w:name="tm2624270d1_f3.htm"/>
      <w:bookmarkStart w:id="1" w:name="kstm2624270d1_f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filed with the U.S. Securities and Exchange Commission on September 9,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w:t>
        <w:b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BAOSHENG MEDIA GROUP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4880"/>
        <w:gridCol w:w="3275"/>
      </w:tblGrid>
      <w:tr>
        <w:trPr/>
        <w:tc>
          <w:tcPr>
            <w:tcW w:w="48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32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48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Floor 5, Building No. 8, Xishanhui</w:t>
        <w:br/>
        <w:t>Shijingshan District, Beijing 100041</w:t>
        <w:br/>
        <w:t>People’s Republic of China</w:t>
        <w:br/>
        <w:t>+86-010-82088021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Puglisi &amp; Associates</w:t>
        <w:br/>
        <w:t>850 Library Avenue, Suite 204</w:t>
        <w:br/>
        <w:t>Newark, Delaware 19711</w:t>
        <w:br/>
        <w:t>(302) 738-6680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br/>
        <w:t>Laura H. L. Hemmann, Esq.</w:t>
        <w:br/>
        <w:t>iTKG Law LLC</w:t>
        <w:br/>
        <w:t>100 Corporate Drive, Suite 302</w:t>
        <w:br/>
        <w:t>Lebanon, New Jersey 08833</w:t>
        <w:br/>
        <w:t>(650) 799-2061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From time to time after this registration statement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U.S.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information in this prospectus is not complete and may be changed. The Selling Shareholders may not sell these securities until the registration statement filed with the U.S. Securities and Exchange Commission is effective. This prospectus is not an offer to sell these securities and it is not soliciting an offer to buy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TO COMPLETION, DATED September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028950" cy="1162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28950" cy="11620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25,000,000 Ordinary Shares</w:t>
        <w:br/>
        <w:t>Offered by the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by the selling shareholders identified in this prospectus (collectively, the “Selling Shareholders”) of up to an aggregate of 25,000,000 ordinary shares, par value US$0.0096 per share, of Baosheng Media Group Holdings Limited (the “Ordinary Shares”). The Ordinary Shares offered for resale pursuant to this prospectus are referred to herein as the “PIPE Shares.” The PIPE Shares were issued to the Selling Shareholders pursuant to separate subscription agreements, each dated June 5, 2026, entered into between the Company and the applicable Selling Shareholder (collectively, the “Subscription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offer and sale of the PIPE Shares to satisfy certain registration rights we have granted. The Selling Shareholders may offer all or part of the PIPE Shares for resale from time to time through public or private transactions, at either prevailing market prices or at privately negotiated prices. The PIPE Shares are being registered to permit the Selling Shareholders to sell such shares from time to time, in amounts, at prices and on terms determined at the time of offering. The Selling Shareholders may sell the PIPE Shares through ordinary brokerage transactions, in underwritten offerings, directly to market makers of our shares or through any other means described in the section entitled “Plan of Distribution” herein. In connection with any sales of the PIPE Shares offered hereunder, the Selling Shareholders, any underwriters, agents, brokers or dealers participating in such sales may be deemed to be “underwriters” within the meaning of the Securities Act of 1933, as amended (the “Securities Act”). We are registering the PIPE Shares for resale by the Selling Shareholders, or their donees, pledgees, transferees, distributees or other successors-in-interest selling the PIPE Shares or interests in the PIPE Shares received after the date of this prospectus from the Selling Shareholders as a gift, pledge, partnership distribution or other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Ordinary Shares under this prospectus and will not receive any proceeds from the sale of the Ordinary Shares by the Selling Shareholders. We received the proceeds from the original private placement. We will bear the expenses of registering the Ordinary Shares, other than selling commissions, discounts, transfer taxes and similar expenses attributable to sales by the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“BAOS.” On September 8, 2026, the last reported sale price of our Ordinary Shares was US$0.32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 holding company incorporated in the Cayman Islands and are not a Chinese operating company. We conduct substantially all of our operations through subsidiaries in the People’s Republic of China. Investors purchasing the Ordinary Shares are purchasing equity interests in the Cayman Islands holding company and will not directly hold equity interests in our PRC operating subsidiaries. Our corporate structure and operations in China involve unique legal and operational risks. See “Risk Factors” in this prospectus and in the documents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 xml:space="preserve">Investing in our Ordinary Shares involves a high degree of risk. See “Risk Factors” beginning on page 7 of this prospectus and Item 3.D of our </w:t>
      </w:r>
      <w:hyperlink r:id="rId3">
        <w:r>
          <w:rPr>
            <w:rStyle w:val="InternetLink"/>
            <w:rFonts w:ascii="Times New Roman;Times;Serif" w:hAnsi="Times New Roman;Times;Serif"/>
            <w:b/>
            <w:i w:val="false"/>
            <w:caps w:val="false"/>
            <w:smallCaps w:val="false"/>
            <w:sz w:val="20"/>
          </w:rPr>
          <w:t>annual report on Form 20-F for the year ended December 31, 2025</w:t>
        </w:r>
      </w:hyperlink>
      <w:r>
        <w:rPr>
          <w:rFonts w:ascii="Times New Roman;Times;Serif" w:hAnsi="Times New Roman;Times;Serif"/>
          <w:b/>
          <w:i w:val="false"/>
          <w:caps w:val="false"/>
          <w:smallCaps w:val="false"/>
          <w:sz w:val="20"/>
        </w:rPr>
        <w:t xml:space="preserve"> (“Annual Report”),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or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245"/>
        <w:gridCol w:w="455"/>
      </w:tblGrid>
      <w:tr>
        <w:trPr/>
        <w:tc>
          <w:tcPr>
            <w:tcW w:w="624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624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455" w:type="dxa"/>
            <w:tcBorders/>
            <w:shd w:fill="CCEEFF" w:val="clear"/>
            <w:vAlign w:val="center"/>
          </w:tcPr>
          <w:p>
            <w:pPr>
              <w:pStyle w:val="TableContents"/>
              <w:bidi w:val="0"/>
              <w:spacing w:before="0" w:after="283"/>
              <w:jc w:val="right"/>
              <w:rPr/>
            </w:pPr>
            <w:hyperlink w:anchor="a_001">
              <w:r>
                <w:rPr>
                  <w:rStyle w:val="InternetLink"/>
                  <w:rFonts w:ascii="Times New Roman;Times;Serif" w:hAnsi="Times New Roman;Times;Serif"/>
                  <w:sz w:val="20"/>
                </w:rPr>
                <w:t>1</w:t>
              </w:r>
            </w:hyperlink>
          </w:p>
        </w:tc>
      </w:tr>
      <w:tr>
        <w:trPr/>
        <w:tc>
          <w:tcPr>
            <w:tcW w:w="624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COMMONLY USED DEFINED TERMS</w:t>
              </w:r>
            </w:hyperlink>
          </w:p>
        </w:tc>
        <w:tc>
          <w:tcPr>
            <w:tcW w:w="455" w:type="dxa"/>
            <w:tcBorders/>
            <w:shd w:fill="FFFFFF" w:val="clear"/>
            <w:vAlign w:val="center"/>
          </w:tcPr>
          <w:p>
            <w:pPr>
              <w:pStyle w:val="TableContents"/>
              <w:bidi w:val="0"/>
              <w:spacing w:before="0" w:after="283"/>
              <w:jc w:val="right"/>
              <w:rPr/>
            </w:pPr>
            <w:hyperlink w:anchor="a_002">
              <w:r>
                <w:rPr>
                  <w:rStyle w:val="InternetLink"/>
                  <w:rFonts w:ascii="Times New Roman;Times;Serif" w:hAnsi="Times New Roman;Times;Serif"/>
                  <w:sz w:val="20"/>
                </w:rPr>
                <w:t>1</w:t>
              </w:r>
            </w:hyperlink>
          </w:p>
        </w:tc>
      </w:tr>
      <w:tr>
        <w:trPr/>
        <w:tc>
          <w:tcPr>
            <w:tcW w:w="624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CAUTIONARY NOTE REGARDING FORWARD-LOOKING STATEMENTS</w:t>
              </w:r>
            </w:hyperlink>
          </w:p>
        </w:tc>
        <w:tc>
          <w:tcPr>
            <w:tcW w:w="455" w:type="dxa"/>
            <w:tcBorders/>
            <w:shd w:fill="CCEEFF" w:val="clear"/>
            <w:vAlign w:val="center"/>
          </w:tcPr>
          <w:p>
            <w:pPr>
              <w:pStyle w:val="TableContents"/>
              <w:bidi w:val="0"/>
              <w:spacing w:before="0" w:after="283"/>
              <w:jc w:val="right"/>
              <w:rPr/>
            </w:pPr>
            <w:hyperlink w:anchor="a_003">
              <w:r>
                <w:rPr>
                  <w:rStyle w:val="InternetLink"/>
                  <w:rFonts w:ascii="Times New Roman;Times;Serif" w:hAnsi="Times New Roman;Times;Serif"/>
                  <w:sz w:val="20"/>
                </w:rPr>
                <w:t>1</w:t>
              </w:r>
            </w:hyperlink>
          </w:p>
        </w:tc>
      </w:tr>
      <w:tr>
        <w:trPr/>
        <w:tc>
          <w:tcPr>
            <w:tcW w:w="624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PROSPECTUS SUMMARY</w:t>
              </w:r>
            </w:hyperlink>
          </w:p>
        </w:tc>
        <w:tc>
          <w:tcPr>
            <w:tcW w:w="455" w:type="dxa"/>
            <w:tcBorders/>
            <w:shd w:fill="FFFFFF" w:val="clear"/>
            <w:vAlign w:val="center"/>
          </w:tcPr>
          <w:p>
            <w:pPr>
              <w:pStyle w:val="TableContents"/>
              <w:bidi w:val="0"/>
              <w:spacing w:before="0" w:after="283"/>
              <w:jc w:val="right"/>
              <w:rPr/>
            </w:pPr>
            <w:hyperlink w:anchor="a_004">
              <w:r>
                <w:rPr>
                  <w:rStyle w:val="InternetLink"/>
                  <w:rFonts w:ascii="Times New Roman;Times;Serif" w:hAnsi="Times New Roman;Times;Serif"/>
                  <w:sz w:val="20"/>
                </w:rPr>
                <w:t>1</w:t>
              </w:r>
            </w:hyperlink>
          </w:p>
        </w:tc>
      </w:tr>
      <w:tr>
        <w:trPr/>
        <w:tc>
          <w:tcPr>
            <w:tcW w:w="624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THE OFFERING</w:t>
              </w:r>
            </w:hyperlink>
          </w:p>
        </w:tc>
        <w:tc>
          <w:tcPr>
            <w:tcW w:w="455" w:type="dxa"/>
            <w:tcBorders/>
            <w:shd w:fill="CCEEFF" w:val="clear"/>
            <w:vAlign w:val="center"/>
          </w:tcPr>
          <w:p>
            <w:pPr>
              <w:pStyle w:val="TableContents"/>
              <w:bidi w:val="0"/>
              <w:spacing w:before="0" w:after="283"/>
              <w:jc w:val="right"/>
              <w:rPr/>
            </w:pPr>
            <w:hyperlink w:anchor="a_005">
              <w:r>
                <w:rPr>
                  <w:rStyle w:val="InternetLink"/>
                  <w:rFonts w:ascii="Times New Roman;Times;Serif" w:hAnsi="Times New Roman;Times;Serif"/>
                  <w:sz w:val="20"/>
                </w:rPr>
                <w:t>6</w:t>
              </w:r>
            </w:hyperlink>
          </w:p>
        </w:tc>
      </w:tr>
      <w:tr>
        <w:trPr/>
        <w:tc>
          <w:tcPr>
            <w:tcW w:w="624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RISK FACTORS</w:t>
              </w:r>
            </w:hyperlink>
          </w:p>
        </w:tc>
        <w:tc>
          <w:tcPr>
            <w:tcW w:w="455" w:type="dxa"/>
            <w:tcBorders/>
            <w:shd w:fill="FFFFFF" w:val="clear"/>
            <w:vAlign w:val="center"/>
          </w:tcPr>
          <w:p>
            <w:pPr>
              <w:pStyle w:val="TableContents"/>
              <w:bidi w:val="0"/>
              <w:spacing w:before="0" w:after="283"/>
              <w:jc w:val="right"/>
              <w:rPr/>
            </w:pPr>
            <w:hyperlink w:anchor="a_006">
              <w:r>
                <w:rPr>
                  <w:rStyle w:val="InternetLink"/>
                  <w:rFonts w:ascii="Times New Roman;Times;Serif" w:hAnsi="Times New Roman;Times;Serif"/>
                  <w:sz w:val="20"/>
                </w:rPr>
                <w:t>7</w:t>
              </w:r>
            </w:hyperlink>
          </w:p>
        </w:tc>
      </w:tr>
      <w:tr>
        <w:trPr/>
        <w:tc>
          <w:tcPr>
            <w:tcW w:w="6245" w:type="dxa"/>
            <w:tcBorders/>
            <w:shd w:fill="CCEEFF" w:val="clear"/>
            <w:vAlign w:val="center"/>
          </w:tcPr>
          <w:p>
            <w:pPr>
              <w:pStyle w:val="TableContents"/>
              <w:bidi w:val="0"/>
              <w:spacing w:before="0" w:after="283"/>
              <w:jc w:val="left"/>
              <w:rPr/>
            </w:pPr>
            <w:hyperlink w:anchor="f3_20">
              <w:r>
                <w:rPr>
                  <w:rStyle w:val="InternetLink"/>
                </w:rPr>
                <w:t>CAPITALIZATION AND INDEBTEDNESS</w:t>
              </w:r>
            </w:hyperlink>
          </w:p>
        </w:tc>
        <w:tc>
          <w:tcPr>
            <w:tcW w:w="455" w:type="dxa"/>
            <w:tcBorders/>
            <w:shd w:fill="CCEEFF" w:val="clear"/>
            <w:vAlign w:val="center"/>
          </w:tcPr>
          <w:p>
            <w:pPr>
              <w:pStyle w:val="TableContents"/>
              <w:bidi w:val="0"/>
              <w:spacing w:before="0" w:after="283"/>
              <w:jc w:val="right"/>
              <w:rPr/>
            </w:pPr>
            <w:hyperlink w:anchor="f3_20">
              <w:r>
                <w:rPr>
                  <w:rStyle w:val="InternetLink"/>
                </w:rPr>
                <w:t>9</w:t>
              </w:r>
            </w:hyperlink>
          </w:p>
        </w:tc>
      </w:tr>
      <w:tr>
        <w:trPr/>
        <w:tc>
          <w:tcPr>
            <w:tcW w:w="6245"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USE OF PROCEEDS</w:t>
              </w:r>
            </w:hyperlink>
          </w:p>
        </w:tc>
        <w:tc>
          <w:tcPr>
            <w:tcW w:w="455" w:type="dxa"/>
            <w:tcBorders/>
            <w:shd w:fill="FFFFFF" w:val="clear"/>
            <w:vAlign w:val="center"/>
          </w:tcPr>
          <w:p>
            <w:pPr>
              <w:pStyle w:val="TableContents"/>
              <w:bidi w:val="0"/>
              <w:spacing w:before="0" w:after="283"/>
              <w:jc w:val="right"/>
              <w:rPr/>
            </w:pPr>
            <w:hyperlink w:anchor="a_007">
              <w:r>
                <w:rPr>
                  <w:rStyle w:val="InternetLink"/>
                  <w:rFonts w:ascii="Times New Roman;Times;Serif" w:hAnsi="Times New Roman;Times;Serif"/>
                  <w:sz w:val="20"/>
                </w:rPr>
                <w:t>9</w:t>
              </w:r>
            </w:hyperlink>
          </w:p>
        </w:tc>
      </w:tr>
      <w:tr>
        <w:trPr/>
        <w:tc>
          <w:tcPr>
            <w:tcW w:w="624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DIVIDEND POLICY</w:t>
              </w:r>
            </w:hyperlink>
          </w:p>
        </w:tc>
        <w:tc>
          <w:tcPr>
            <w:tcW w:w="455" w:type="dxa"/>
            <w:tcBorders/>
            <w:shd w:fill="CCEEFF" w:val="clear"/>
            <w:vAlign w:val="center"/>
          </w:tcPr>
          <w:p>
            <w:pPr>
              <w:pStyle w:val="TableContents"/>
              <w:bidi w:val="0"/>
              <w:spacing w:before="0" w:after="283"/>
              <w:jc w:val="right"/>
              <w:rPr/>
            </w:pPr>
            <w:hyperlink w:anchor="a_008">
              <w:r>
                <w:rPr>
                  <w:rStyle w:val="InternetLink"/>
                  <w:rFonts w:ascii="Times New Roman;Times;Serif" w:hAnsi="Times New Roman;Times;Serif"/>
                  <w:sz w:val="20"/>
                </w:rPr>
                <w:t>10</w:t>
              </w:r>
            </w:hyperlink>
          </w:p>
        </w:tc>
      </w:tr>
      <w:tr>
        <w:trPr/>
        <w:tc>
          <w:tcPr>
            <w:tcW w:w="6245"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SELLING SHAREHOLDERS</w:t>
              </w:r>
            </w:hyperlink>
          </w:p>
        </w:tc>
        <w:tc>
          <w:tcPr>
            <w:tcW w:w="455" w:type="dxa"/>
            <w:tcBorders/>
            <w:shd w:fill="FFFFFF" w:val="clear"/>
            <w:vAlign w:val="center"/>
          </w:tcPr>
          <w:p>
            <w:pPr>
              <w:pStyle w:val="TableContents"/>
              <w:bidi w:val="0"/>
              <w:spacing w:before="0" w:after="283"/>
              <w:jc w:val="right"/>
              <w:rPr/>
            </w:pPr>
            <w:hyperlink w:anchor="a_009">
              <w:r>
                <w:rPr>
                  <w:rStyle w:val="InternetLink"/>
                  <w:rFonts w:ascii="Times New Roman;Times;Serif" w:hAnsi="Times New Roman;Times;Serif"/>
                  <w:sz w:val="20"/>
                </w:rPr>
                <w:t>10</w:t>
              </w:r>
            </w:hyperlink>
          </w:p>
        </w:tc>
      </w:tr>
      <w:tr>
        <w:trPr/>
        <w:tc>
          <w:tcPr>
            <w:tcW w:w="624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PLAN OF DISTRIBUTION</w:t>
              </w:r>
            </w:hyperlink>
          </w:p>
        </w:tc>
        <w:tc>
          <w:tcPr>
            <w:tcW w:w="455" w:type="dxa"/>
            <w:tcBorders/>
            <w:shd w:fill="CCEEFF" w:val="clear"/>
            <w:vAlign w:val="center"/>
          </w:tcPr>
          <w:p>
            <w:pPr>
              <w:pStyle w:val="TableContents"/>
              <w:bidi w:val="0"/>
              <w:spacing w:before="0" w:after="283"/>
              <w:jc w:val="right"/>
              <w:rPr/>
            </w:pPr>
            <w:hyperlink w:anchor="a_010">
              <w:r>
                <w:rPr>
                  <w:rStyle w:val="InternetLink"/>
                  <w:rFonts w:ascii="Times New Roman;Times;Serif" w:hAnsi="Times New Roman;Times;Serif"/>
                  <w:sz w:val="20"/>
                </w:rPr>
                <w:t>13</w:t>
              </w:r>
            </w:hyperlink>
          </w:p>
        </w:tc>
      </w:tr>
      <w:tr>
        <w:trPr/>
        <w:tc>
          <w:tcPr>
            <w:tcW w:w="6245" w:type="dxa"/>
            <w:tcBorders/>
            <w:shd w:fill="FFFFFF" w:val="clear"/>
            <w:vAlign w:val="center"/>
          </w:tcPr>
          <w:p>
            <w:pPr>
              <w:pStyle w:val="TableContents"/>
              <w:bidi w:val="0"/>
              <w:spacing w:before="0" w:after="283"/>
              <w:jc w:val="left"/>
              <w:rPr/>
            </w:pPr>
            <w:hyperlink w:anchor="l_001">
              <w:r>
                <w:rPr>
                  <w:rStyle w:val="InternetLink"/>
                </w:rPr>
                <w:t>LEGAL PROCEEDINGS</w:t>
              </w:r>
            </w:hyperlink>
          </w:p>
        </w:tc>
        <w:tc>
          <w:tcPr>
            <w:tcW w:w="455" w:type="dxa"/>
            <w:tcBorders/>
            <w:shd w:fill="FFFFFF" w:val="clear"/>
            <w:vAlign w:val="center"/>
          </w:tcPr>
          <w:p>
            <w:pPr>
              <w:pStyle w:val="TableContents"/>
              <w:bidi w:val="0"/>
              <w:spacing w:before="0" w:after="283"/>
              <w:jc w:val="right"/>
              <w:rPr/>
            </w:pPr>
            <w:hyperlink w:anchor="l_001">
              <w:r>
                <w:rPr>
                  <w:rStyle w:val="InternetLink"/>
                </w:rPr>
                <w:t>15</w:t>
              </w:r>
            </w:hyperlink>
          </w:p>
        </w:tc>
      </w:tr>
      <w:tr>
        <w:trPr/>
        <w:tc>
          <w:tcPr>
            <w:tcW w:w="624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SHARE CAPITAL</w:t>
              </w:r>
            </w:hyperlink>
          </w:p>
        </w:tc>
        <w:tc>
          <w:tcPr>
            <w:tcW w:w="455" w:type="dxa"/>
            <w:tcBorders/>
            <w:shd w:fill="CCEEFF" w:val="clear"/>
            <w:vAlign w:val="center"/>
          </w:tcPr>
          <w:p>
            <w:pPr>
              <w:pStyle w:val="TableContents"/>
              <w:bidi w:val="0"/>
              <w:spacing w:before="0" w:after="283"/>
              <w:jc w:val="right"/>
              <w:rPr/>
            </w:pPr>
            <w:hyperlink w:anchor="a_011">
              <w:r>
                <w:rPr>
                  <w:rStyle w:val="InternetLink"/>
                  <w:rFonts w:ascii="Times New Roman;Times;Serif" w:hAnsi="Times New Roman;Times;Serif"/>
                  <w:sz w:val="20"/>
                </w:rPr>
                <w:t>16</w:t>
              </w:r>
            </w:hyperlink>
          </w:p>
        </w:tc>
      </w:tr>
      <w:tr>
        <w:trPr/>
        <w:tc>
          <w:tcPr>
            <w:tcW w:w="6245"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MATERIAL CHANGES</w:t>
              </w:r>
            </w:hyperlink>
          </w:p>
        </w:tc>
        <w:tc>
          <w:tcPr>
            <w:tcW w:w="455" w:type="dxa"/>
            <w:tcBorders/>
            <w:shd w:fill="FFFFFF" w:val="clear"/>
            <w:vAlign w:val="center"/>
          </w:tcPr>
          <w:p>
            <w:pPr>
              <w:pStyle w:val="TableContents"/>
              <w:bidi w:val="0"/>
              <w:spacing w:before="0" w:after="283"/>
              <w:jc w:val="right"/>
              <w:rPr/>
            </w:pPr>
            <w:hyperlink w:anchor="a_013">
              <w:r>
                <w:rPr>
                  <w:rStyle w:val="InternetLink"/>
                  <w:rFonts w:ascii="Times New Roman;Times;Serif" w:hAnsi="Times New Roman;Times;Serif"/>
                  <w:sz w:val="20"/>
                </w:rPr>
                <w:t>20</w:t>
              </w:r>
            </w:hyperlink>
          </w:p>
        </w:tc>
      </w:tr>
      <w:tr>
        <w:trPr/>
        <w:tc>
          <w:tcPr>
            <w:tcW w:w="624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LEGAL MATTERS</w:t>
              </w:r>
            </w:hyperlink>
          </w:p>
        </w:tc>
        <w:tc>
          <w:tcPr>
            <w:tcW w:w="455" w:type="dxa"/>
            <w:tcBorders/>
            <w:shd w:fill="CCEEFF" w:val="clear"/>
            <w:vAlign w:val="center"/>
          </w:tcPr>
          <w:p>
            <w:pPr>
              <w:pStyle w:val="TableContents"/>
              <w:bidi w:val="0"/>
              <w:spacing w:before="0" w:after="283"/>
              <w:jc w:val="right"/>
              <w:rPr/>
            </w:pPr>
            <w:hyperlink w:anchor="a_014">
              <w:r>
                <w:rPr>
                  <w:rStyle w:val="InternetLink"/>
                  <w:rFonts w:ascii="Times New Roman;Times;Serif" w:hAnsi="Times New Roman;Times;Serif"/>
                  <w:sz w:val="20"/>
                </w:rPr>
                <w:t>20</w:t>
              </w:r>
            </w:hyperlink>
          </w:p>
        </w:tc>
      </w:tr>
      <w:tr>
        <w:trPr/>
        <w:tc>
          <w:tcPr>
            <w:tcW w:w="6245"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EXPERTS</w:t>
              </w:r>
            </w:hyperlink>
          </w:p>
        </w:tc>
        <w:tc>
          <w:tcPr>
            <w:tcW w:w="455" w:type="dxa"/>
            <w:tcBorders/>
            <w:shd w:fill="FFFFFF" w:val="clear"/>
            <w:vAlign w:val="center"/>
          </w:tcPr>
          <w:p>
            <w:pPr>
              <w:pStyle w:val="TableContents"/>
              <w:bidi w:val="0"/>
              <w:spacing w:before="0" w:after="283"/>
              <w:jc w:val="right"/>
              <w:rPr/>
            </w:pPr>
            <w:hyperlink w:anchor="a_015">
              <w:r>
                <w:rPr>
                  <w:rStyle w:val="InternetLink"/>
                  <w:rFonts w:ascii="Times New Roman;Times;Serif" w:hAnsi="Times New Roman;Times;Serif"/>
                  <w:sz w:val="20"/>
                </w:rPr>
                <w:t>20</w:t>
              </w:r>
            </w:hyperlink>
          </w:p>
        </w:tc>
      </w:tr>
      <w:tr>
        <w:trPr/>
        <w:tc>
          <w:tcPr>
            <w:tcW w:w="624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ENFORCEABILITY OF CIVIL LIABILITIES</w:t>
              </w:r>
            </w:hyperlink>
          </w:p>
        </w:tc>
        <w:tc>
          <w:tcPr>
            <w:tcW w:w="455" w:type="dxa"/>
            <w:tcBorders/>
            <w:shd w:fill="CCEEFF" w:val="clear"/>
            <w:vAlign w:val="center"/>
          </w:tcPr>
          <w:p>
            <w:pPr>
              <w:pStyle w:val="TableContents"/>
              <w:bidi w:val="0"/>
              <w:spacing w:before="0" w:after="283"/>
              <w:jc w:val="right"/>
              <w:rPr/>
            </w:pPr>
            <w:hyperlink w:anchor="a_016">
              <w:r>
                <w:rPr>
                  <w:rStyle w:val="InternetLink"/>
                  <w:rFonts w:ascii="Times New Roman;Times;Serif" w:hAnsi="Times New Roman;Times;Serif"/>
                  <w:sz w:val="20"/>
                </w:rPr>
                <w:t>20</w:t>
              </w:r>
            </w:hyperlink>
          </w:p>
        </w:tc>
      </w:tr>
      <w:tr>
        <w:trPr/>
        <w:tc>
          <w:tcPr>
            <w:tcW w:w="6245"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INCORPORATION OF CERTAIN INFORMATION BY REFERENCE</w:t>
              </w:r>
            </w:hyperlink>
          </w:p>
        </w:tc>
        <w:tc>
          <w:tcPr>
            <w:tcW w:w="455" w:type="dxa"/>
            <w:tcBorders/>
            <w:shd w:fill="FFFFFF" w:val="clear"/>
            <w:vAlign w:val="center"/>
          </w:tcPr>
          <w:p>
            <w:pPr>
              <w:pStyle w:val="TableContents"/>
              <w:bidi w:val="0"/>
              <w:spacing w:before="0" w:after="283"/>
              <w:jc w:val="right"/>
              <w:rPr/>
            </w:pPr>
            <w:hyperlink w:anchor="a_017">
              <w:r>
                <w:rPr>
                  <w:rStyle w:val="InternetLink"/>
                  <w:rFonts w:ascii="Times New Roman;Times;Serif" w:hAnsi="Times New Roman;Times;Serif"/>
                  <w:sz w:val="20"/>
                </w:rPr>
                <w:t>20</w:t>
              </w:r>
            </w:hyperlink>
          </w:p>
        </w:tc>
      </w:tr>
      <w:tr>
        <w:trPr/>
        <w:tc>
          <w:tcPr>
            <w:tcW w:w="624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WHERE YOU CAN FIND ADDITIONAL INFORMATION</w:t>
              </w:r>
            </w:hyperlink>
          </w:p>
        </w:tc>
        <w:tc>
          <w:tcPr>
            <w:tcW w:w="455" w:type="dxa"/>
            <w:tcBorders/>
            <w:shd w:fill="CCEEFF" w:val="clear"/>
            <w:vAlign w:val="center"/>
          </w:tcPr>
          <w:p>
            <w:pPr>
              <w:pStyle w:val="TableContents"/>
              <w:bidi w:val="0"/>
              <w:spacing w:before="0" w:after="283"/>
              <w:jc w:val="right"/>
              <w:rPr/>
            </w:pPr>
            <w:hyperlink w:anchor="a_018">
              <w:r>
                <w:rPr>
                  <w:rStyle w:val="InternetLink"/>
                  <w:rFonts w:ascii="Times New Roman;Times;Serif" w:hAnsi="Times New Roman;Times;Serif"/>
                  <w:sz w:val="20"/>
                </w:rPr>
                <w:t>21</w:t>
              </w:r>
            </w:hyperlink>
          </w:p>
        </w:tc>
      </w:tr>
      <w:tr>
        <w:trPr/>
        <w:tc>
          <w:tcPr>
            <w:tcW w:w="6245" w:type="dxa"/>
            <w:tcBorders/>
            <w:shd w:fill="FFFFFF" w:val="clear"/>
            <w:vAlign w:val="center"/>
          </w:tcPr>
          <w:p>
            <w:pPr>
              <w:pStyle w:val="TableContents"/>
              <w:bidi w:val="0"/>
              <w:spacing w:before="0" w:after="283"/>
              <w:jc w:val="left"/>
              <w:rPr/>
            </w:pPr>
            <w:hyperlink w:anchor="p_001">
              <w:r>
                <w:rPr>
                  <w:rStyle w:val="InternetLink"/>
                </w:rPr>
                <w:t>INDEMNIFICATION FOR SECURITIES ACT LIABILITIES</w:t>
              </w:r>
            </w:hyperlink>
          </w:p>
        </w:tc>
        <w:tc>
          <w:tcPr>
            <w:tcW w:w="455" w:type="dxa"/>
            <w:tcBorders/>
            <w:shd w:fill="FFFFFF" w:val="clear"/>
            <w:vAlign w:val="center"/>
          </w:tcPr>
          <w:p>
            <w:pPr>
              <w:pStyle w:val="TableContents"/>
              <w:bidi w:val="0"/>
              <w:spacing w:before="0" w:after="283"/>
              <w:jc w:val="right"/>
              <w:rPr/>
            </w:pPr>
            <w:hyperlink w:anchor="p_001">
              <w:r>
                <w:rPr>
                  <w:rStyle w:val="InternetLink"/>
                </w:rPr>
                <w:t>21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Shareholders have authorized anyone to provide you with information different from, or in addition to, that contained or incorporated by reference in this prospectus. Neither we nor the Selling Shareholders take responsibility for, and can provide no assurance as to the reliability of, any other information. The information contained or incorporated by reference in this prospectus is accurate only as of its respective date, regardless of the time of delivery of this prospectus or any sale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Securities and Exchange Commission, or the SEC. The Selling Shareholders named in this prospectus may, from time to time, sell up to 25,000,000 Ordinary Shares in one or more transactions. This prospectus provides a general description of the Ordinary Shares and the manner in which the Selling Shareholders may offer them. To the extent required by applicable law, a prospectus supplement or post-effective amendment will describe any material changes to the information contained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any applicable prospectus supplement and any related free writing prospectus, together with the additional information described under “Incorporation of Certain Information by Reference” and “Where You Can Find Additional Information.” If information in this prospectus conflicts with information in a document incorporated by reference that was filed later, the later-filed information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Unless otherwise indicated or the context otherwise requires, references in this prospectus to “we,” “us,” “our,” the “Company” and “Baosheng” refer to Baosheng Media Group Holdings Limited (</w:t>
      </w:r>
      <w:r>
        <w:rPr>
          <w:rFonts w:eastAsia="Times New Roman;Times;Serif"/>
          <w:b w:val="false"/>
          <w:i w:val="false"/>
          <w:caps w:val="false"/>
          <w:smallCaps w:val="false"/>
          <w:sz w:val="20"/>
        </w:rPr>
        <w:t>宝盛传媒集团控股有限公司</w:t>
      </w:r>
      <w:r>
        <w:rPr>
          <w:rFonts w:ascii="Times New Roman;Times;Serif" w:hAnsi="Times New Roman;Times;Serif"/>
          <w:b w:val="false"/>
          <w:i w:val="false"/>
          <w:caps w:val="false"/>
          <w:smallCaps w:val="false"/>
          <w:sz w:val="20"/>
        </w:rPr>
        <w:t>) and, where the context requires, its consolidated subsidiaries. References to “China” or the “PRC” refer to the People’s Republic of China, excluding, for purposes of this prospectus only, Hong Kong, Macau and Taiwan. References to the “SEC,” the “Securities Act” and the “Exchange Act” refer to the U.S. Securities and Exchange Commission, the Securities Act of 1933, as amended, and the Securities Exchange Act of 1934, as amended,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defined terms used in this prospectus include the terms defined in our </w:t>
      </w:r>
      <w:hyperlink r:id="rId4">
        <w:r>
          <w:rPr>
            <w:rStyle w:val="InternetLink"/>
            <w:rFonts w:ascii="Times New Roman;Times;Serif" w:hAnsi="Times New Roman;Times;Serif"/>
            <w:b w:val="false"/>
            <w:i w:val="false"/>
            <w:caps w:val="false"/>
            <w:smallCaps w:val="false"/>
            <w:sz w:val="20"/>
          </w:rPr>
          <w:t>annual report on Form 20-F for the year ended December 31, 2025</w:t>
        </w:r>
      </w:hyperlink>
      <w:r>
        <w:rPr>
          <w:rFonts w:ascii="Times New Roman;Times;Serif" w:hAnsi="Times New Roman;Times;Serif"/>
          <w:b w:val="false"/>
          <w:i w:val="false"/>
          <w:caps w:val="false"/>
          <w:smallCaps w:val="false"/>
          <w:sz w:val="20"/>
        </w:rPr>
        <w:t>, which is incorporated by reference. Unless otherwise stated, all references to share amounts in this prospectus should be read together with any share consolidation, subdivision or other recapitalization disclosed in our SEC filings after the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contain forward-looking statements within the meaning of Section 27A of the Securities Act and Section 21E of the Exchange Act. Forward-looking statements involve known and unknown risks, uncertainties and other factors that may cause our actual results, performance or achievements to differ materially from those expressed or implied. Words such as “anticipate,” “believe,” “could,” “expect,” “intend,” “may,” “plan,” “potential,” “should,” “will” and similar expressions identify some, but not all,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 Incorporation of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offshore holding company incorporated in the Cayman Islands and are not a PRC operating company. We conduct substantially all of our operations through our wholly owned subsidiaries in the PRC and have not adopted a variable interest entity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China-based online marketing solutions provider focusing on short-form video and social-media performance marketing. Our operating subsidiaries provide online marketing solutions, including marketing strategy, advertising optimization and delivery services for search advertising, feed advertising, mobile application advertising and social-media marketing advertising.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accelerating our transition toward becoming an AI-native short-form video marketing technology provider. Centered around our proposed BAOS AI platform, we are developing capabilities in AI-generated content, intelligent traffic allocation, digital-human live streaming, user insights and overseas marketing. As part of this strategy, in July 2026, we entered into a non-binding memorandum of understanding with Beijing Zhongcheng Kexin Technology Development Co., Ltd. to explore the potential development of an AI-powered marketing and service platform for the cultural-tourism sector. The memorandum does not obligate either party to proceed with the proposed collaboration, and the implementation of any collaboration remains subject to the negotiation and execution of definitive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we entered into a non-binding strategic acquisition memorandum of understanding with Blue Intelligence Cloud Innovation Technology (Beijing) Co., Ltd., pursuant to which we propose to acquire a 40% equity interest in that company. Blue Intelligence Cloud Innovation Technology focuses on AI technology development, AI data processing and intelligent marketing solutions. On August 20, 2026, the company has entered into a strategic cooperation memorandum of understanding (the “MOU”) with 58.com Group (“58.com”). The parties intend to establish a long-term strategic collaboration focused on AI marketing, AI advertising, virtual human livestreaming, intelligent media buying, omnichannel content distribution, and smart local services. Through the collaboration, the parties aim to promote the application and commercialization of artificial intelligence technologies across local services, travel e-commerce, and offline commercial scenarios.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completed, the proposed acquisition is expected to provide us with access to AI-powered capabilities, including intelligent marketing, intelligent content generation, user-data analytics and AI-enabled operations, and to support our expansion into AI-powered digital marketing and next-generation marketing services. We expect to conduct due diligence and negotiate definitive transaction documents if the applicable transaction conditions are satisfied. The memorandum of understanding is a non-binding framework agreement, and the transaction consideration, payment terms, closing arrangements, corporate governance arrangements and other material terms remain subject to due diligence and the execution of definitive agreements. There can be no assurance that definitive agreements will be entered into or that the proposed acquisition will be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For additional information regarding our history, organizational structure, business and operations, see “Item 4. Information on the Company” in our </w:t>
      </w:r>
      <w:hyperlink r:id="rId5">
        <w:r>
          <w:rPr>
            <w:rStyle w:val="InternetLink"/>
            <w:rFonts w:ascii="Times New Roman;Times;Serif" w:hAnsi="Times New Roman;Times;Serif"/>
            <w:b w:val="false"/>
            <w:i w:val="false"/>
            <w:caps w:val="false"/>
            <w:smallCaps w:val="false"/>
            <w:sz w:val="20"/>
          </w:rPr>
          <w:t>annual report on Form 20-F for the year ended December 31, 2025</w:t>
        </w:r>
      </w:hyperlink>
      <w:r>
        <w:rPr>
          <w:rFonts w:ascii="Times New Roman;Times;Serif" w:hAnsi="Times New Roman;Times;Serif"/>
          <w:b w:val="false"/>
          <w:i w:val="false"/>
          <w:caps w:val="false"/>
          <w:smallCaps w:val="false"/>
          <w:sz w:val="20"/>
        </w:rPr>
        <w:t>, which is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current corporate structure, which includes our significant subsidiaries as of the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5676900" cy="3495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5676900" cy="3495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We are an online marketing solution provider based in China. We are dedicated to helping our advertiser clients manage their online marketing activities with a view to achieving their business goals. We advise advertisers on online marketing strategies, offer value-added advertising optimization services and facilitate the deployment of online ads of various forms such as search ads, in-feed ads, mobile app ads and social media marketing ads. At the same time, as the authorized agency of some popular online media, such as Super Huichuan (</w:t>
      </w:r>
      <w:r>
        <w:rPr>
          <w:rFonts w:eastAsia="Times New Roman;Times;Serif"/>
          <w:b w:val="false"/>
          <w:i w:val="false"/>
          <w:caps w:val="false"/>
          <w:smallCaps w:val="false"/>
          <w:sz w:val="20"/>
        </w:rPr>
        <w:t>超级汇川</w:t>
      </w:r>
      <w:r>
        <w:rPr>
          <w:rFonts w:ascii="Times New Roman;Times;Serif" w:hAnsi="Times New Roman;Times;Serif"/>
          <w:b w:val="false"/>
          <w:i w:val="false"/>
          <w:caps w:val="false"/>
          <w:smallCaps w:val="false"/>
          <w:sz w:val="20"/>
        </w:rPr>
        <w:t>), we help online media procure advertisers to buy their ad inventory and facilitate ad deployment on their advertising channels.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Relying on our management’s extensive industry experience, deep industry insights and well-established network of media resources, we have grown rapidly from a start-up online marketing agency founded in 2014 to a multi-channel online marketing solution provider.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help advertisers formulate their online advertising strategies, optimize their ads and run their ads on suitable online advertising channels with a view to achieving their business goals. We have built a broad and diverse advertiser base across various industries, including ecommerce and online service platforms, online education, online travel agencies, financial services, online gaming, car services and other advertising agencies. We believe our ability to attract and retain these advertisers reflects the high level of our services, which is essential to our business growth.</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Our business value chain. </w:t>
      </w:r>
      <w:r>
        <w:rPr>
          <w:rFonts w:ascii="Times New Roman;Times;Serif" w:hAnsi="Times New Roman;Times;Serif"/>
          <w:b w:val="false"/>
          <w:i w:val="false"/>
          <w:caps w:val="false"/>
          <w:smallCaps w:val="false"/>
          <w:sz w:val="20"/>
        </w:rPr>
        <w:t>As an online advertising service provider, we regard our business values as revolving around our ability to serve the needs of two major business stakeholders: (i) advertisers; and (ii) media (or their authorized agencies).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Value to advertisers</w:t>
            </w:r>
            <w:r>
              <w:rPr>
                <w:rFonts w:ascii="Times New Roman;Times;Serif" w:hAnsi="Times New Roman;Times;Serif"/>
                <w:sz w:val="20"/>
              </w:rPr>
              <w:t>: As an online marketing service provider, we connect advertisers and online media, helping advertisers to manage their online marketing activities in many ways, including, but not limited to, (i) advising on advertising strategies, budget and choice of advertising channels; (ii) procuring ad inventory; (iii) offering ad optimization services; and (iv) administrating and fine-tuning the ad placement process.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Value to media</w:t>
            </w:r>
            <w:r>
              <w:rPr>
                <w:rFonts w:ascii="Times New Roman;Times;Serif" w:hAnsi="Times New Roman;Times;Serif"/>
                <w:sz w:val="20"/>
              </w:rPr>
              <w:t>: As an authorized agency of media, we create value to media businesses in several ways, including, but not limited to, (i) identifying advertisers to buy their ad inventory, (ii) facilitating payment arrangements with advertisers, (iii) assisting advertisers in handling ad deployment logistics with media, and (iv) engaging in other marketing and promotion activities aimed at educating and inducing advertisers to use online advertising.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Our advertising services</w:t>
      </w:r>
      <w:r>
        <w:rPr>
          <w:rFonts w:ascii="Times New Roman;Times;Serif" w:hAnsi="Times New Roman;Times;Serif"/>
          <w:b w:val="false"/>
          <w:i w:val="false"/>
          <w:caps w:val="false"/>
          <w:smallCaps w:val="false"/>
          <w:sz w:val="20"/>
        </w:rPr>
        <w:t>. We offer two types of advertising services, SEM services, and Non-SEM services. Our SEM services include the deployment of ranked search ads and other display search ads offered by search engine operators. Our Non-SEM services, on the other hand, include social media marketing, in-feed advertising, and mobile app advertising through deploying ads on media such as social media platforms, short-video platforms, news portals and mobile apps. The display forms of our Non-SEM ads include in-feed ads, banner ads, button ads, interstitial ads, and posts on selected social media accounts.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relevant ad formats, the corresponding pricing models generally adopted by media and our revenue model: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870"/>
        <w:gridCol w:w="60"/>
        <w:gridCol w:w="5747"/>
        <w:gridCol w:w="60"/>
        <w:gridCol w:w="2007"/>
        <w:gridCol w:w="60"/>
        <w:gridCol w:w="1401"/>
      </w:tblGrid>
      <w:tr>
        <w:trPr/>
        <w:tc>
          <w:tcPr>
            <w:tcW w:w="87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Type</w:t>
            </w:r>
          </w:p>
        </w:tc>
        <w:tc>
          <w:tcPr>
            <w:tcW w:w="60" w:type="dxa"/>
            <w:tcBorders/>
            <w:shd w:fill="FFFFFF" w:val="clear"/>
            <w:vAlign w:val="center"/>
          </w:tcPr>
          <w:p>
            <w:pPr>
              <w:pStyle w:val="TableContents"/>
              <w:bidi w:val="0"/>
              <w:spacing w:before="0" w:after="283"/>
              <w:jc w:val="center"/>
              <w:rPr/>
            </w:pPr>
            <w:r>
              <w:rPr/>
              <w:t> </w:t>
            </w:r>
          </w:p>
        </w:tc>
        <w:tc>
          <w:tcPr>
            <w:tcW w:w="5747"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shd w:fill="FFFFFF" w:val="clear"/>
            <w:vAlign w:val="center"/>
          </w:tcPr>
          <w:p>
            <w:pPr>
              <w:pStyle w:val="TableContents"/>
              <w:bidi w:val="0"/>
              <w:spacing w:before="0" w:after="283"/>
              <w:jc w:val="center"/>
              <w:rPr/>
            </w:pPr>
            <w:r>
              <w:rPr/>
              <w:t> </w:t>
            </w:r>
          </w:p>
        </w:tc>
        <w:tc>
          <w:tcPr>
            <w:tcW w:w="2007"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Media’s principal pricing model</w:t>
            </w:r>
          </w:p>
        </w:tc>
        <w:tc>
          <w:tcPr>
            <w:tcW w:w="60" w:type="dxa"/>
            <w:tcBorders/>
            <w:shd w:fill="FFFFFF" w:val="clear"/>
            <w:vAlign w:val="center"/>
          </w:tcPr>
          <w:p>
            <w:pPr>
              <w:pStyle w:val="TableContents"/>
              <w:bidi w:val="0"/>
              <w:spacing w:before="0" w:after="283"/>
              <w:jc w:val="center"/>
              <w:rPr/>
            </w:pPr>
            <w:r>
              <w:rPr/>
              <w:t> </w:t>
            </w:r>
          </w:p>
        </w:tc>
        <w:tc>
          <w:tcPr>
            <w:tcW w:w="1401" w:type="dxa"/>
            <w:tcBorders/>
            <w:shd w:fill="FFFFFF" w:val="clear"/>
            <w:vAlign w:val="center"/>
          </w:tcPr>
          <w:p>
            <w:pPr>
              <w:pStyle w:val="TableContents"/>
              <w:bidi w:val="0"/>
              <w:spacing w:before="0" w:after="283"/>
              <w:ind w:left="0" w:right="0" w:hanging="144"/>
              <w:jc w:val="center"/>
              <w:rPr>
                <w:rFonts w:ascii="Times New Roman;Times;Serif" w:hAnsi="Times New Roman;Times;Serif"/>
                <w:b/>
                <w:sz w:val="20"/>
              </w:rPr>
            </w:pPr>
            <w:r>
              <w:rPr>
                <w:rFonts w:ascii="Times New Roman;Times;Serif" w:hAnsi="Times New Roman;Times;Serif"/>
                <w:b/>
                <w:sz w:val="20"/>
              </w:rPr>
              <w:t>Our principal revenue model</w:t>
            </w:r>
          </w:p>
        </w:tc>
      </w:tr>
      <w:tr>
        <w:trPr/>
        <w:tc>
          <w:tcPr>
            <w:tcW w:w="10205" w:type="dxa"/>
            <w:gridSpan w:val="7"/>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SEM Services</w:t>
            </w:r>
          </w:p>
        </w:tc>
      </w:tr>
      <w:tr>
        <w:trPr/>
        <w:tc>
          <w:tcPr>
            <w:tcW w:w="8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Search ads</w:t>
            </w:r>
          </w:p>
        </w:tc>
        <w:tc>
          <w:tcPr>
            <w:tcW w:w="60" w:type="dxa"/>
            <w:tcBorders/>
            <w:shd w:fill="FFFFFF" w:val="clear"/>
            <w:vAlign w:val="center"/>
          </w:tcPr>
          <w:p>
            <w:pPr>
              <w:pStyle w:val="TableContents"/>
              <w:bidi w:val="0"/>
              <w:spacing w:before="0" w:after="283"/>
              <w:jc w:val="left"/>
              <w:rPr/>
            </w:pPr>
            <w:r>
              <w:rPr/>
              <w:t> </w:t>
            </w:r>
          </w:p>
        </w:tc>
        <w:tc>
          <w:tcPr>
            <w:tcW w:w="57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Search ads are normally located at the top, or on the side of the search results page, or the related products of the search engine operators.</w:t>
            </w:r>
          </w:p>
        </w:tc>
        <w:tc>
          <w:tcPr>
            <w:tcW w:w="60" w:type="dxa"/>
            <w:tcBorders/>
            <w:shd w:fill="FFFFFF" w:val="clear"/>
            <w:vAlign w:val="center"/>
          </w:tcPr>
          <w:p>
            <w:pPr>
              <w:pStyle w:val="TableContents"/>
              <w:bidi w:val="0"/>
              <w:spacing w:before="0" w:after="283"/>
              <w:jc w:val="left"/>
              <w:rPr/>
            </w:pPr>
            <w:r>
              <w:rPr/>
              <w:t> </w:t>
            </w:r>
          </w:p>
        </w:tc>
        <w:tc>
          <w:tcPr>
            <w:tcW w:w="2007"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Auction-based ads: mainly CPC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Non-auction-based ads: mainly CPT </w:t>
            </w:r>
          </w:p>
        </w:tc>
        <w:tc>
          <w:tcPr>
            <w:tcW w:w="60"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Rebates and incentives</w:t>
            </w:r>
          </w:p>
        </w:tc>
      </w:tr>
      <w:tr>
        <w:trPr/>
        <w:tc>
          <w:tcPr>
            <w:tcW w:w="10205" w:type="dxa"/>
            <w:gridSpan w:val="7"/>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Non-SEM services</w:t>
            </w:r>
          </w:p>
        </w:tc>
      </w:tr>
      <w:tr>
        <w:trPr/>
        <w:tc>
          <w:tcPr>
            <w:tcW w:w="8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In-feed ads</w:t>
            </w:r>
          </w:p>
        </w:tc>
        <w:tc>
          <w:tcPr>
            <w:tcW w:w="60" w:type="dxa"/>
            <w:tcBorders/>
            <w:shd w:fill="FFFFFF" w:val="clear"/>
            <w:vAlign w:val="center"/>
          </w:tcPr>
          <w:p>
            <w:pPr>
              <w:pStyle w:val="TableContents"/>
              <w:bidi w:val="0"/>
              <w:spacing w:before="0" w:after="283"/>
              <w:jc w:val="left"/>
              <w:rPr/>
            </w:pPr>
            <w:r>
              <w:rPr/>
              <w:t> </w:t>
            </w:r>
          </w:p>
        </w:tc>
        <w:tc>
          <w:tcPr>
            <w:tcW w:w="57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In-feed ads are advertisements that match the format, appearance and function of the platform upon which they appear, typically placed on short video sharing, social media and newsfeed platforms.</w:t>
            </w:r>
          </w:p>
        </w:tc>
        <w:tc>
          <w:tcPr>
            <w:tcW w:w="60" w:type="dxa"/>
            <w:tcBorders/>
            <w:shd w:fill="FFFFFF" w:val="clear"/>
            <w:vAlign w:val="center"/>
          </w:tcPr>
          <w:p>
            <w:pPr>
              <w:pStyle w:val="TableContents"/>
              <w:bidi w:val="0"/>
              <w:spacing w:before="0" w:after="283"/>
              <w:jc w:val="left"/>
              <w:rPr/>
            </w:pPr>
            <w:r>
              <w:rPr/>
              <w:t> </w:t>
            </w:r>
          </w:p>
        </w:tc>
        <w:tc>
          <w:tcPr>
            <w:tcW w:w="200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CPM, CPC</w:t>
            </w:r>
          </w:p>
        </w:tc>
        <w:tc>
          <w:tcPr>
            <w:tcW w:w="60"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Rebates and incentives</w:t>
            </w:r>
          </w:p>
        </w:tc>
      </w:tr>
      <w:tr>
        <w:trPr/>
        <w:tc>
          <w:tcPr>
            <w:tcW w:w="8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Mobile app ads</w:t>
            </w:r>
          </w:p>
        </w:tc>
        <w:tc>
          <w:tcPr>
            <w:tcW w:w="60" w:type="dxa"/>
            <w:tcBorders/>
            <w:shd w:fill="FFFFFF" w:val="clear"/>
            <w:vAlign w:val="center"/>
          </w:tcPr>
          <w:p>
            <w:pPr>
              <w:pStyle w:val="TableContents"/>
              <w:bidi w:val="0"/>
              <w:spacing w:before="0" w:after="283"/>
              <w:jc w:val="left"/>
              <w:rPr/>
            </w:pPr>
            <w:r>
              <w:rPr/>
              <w:t> </w:t>
            </w:r>
          </w:p>
        </w:tc>
        <w:tc>
          <w:tcPr>
            <w:tcW w:w="57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Mobile app ads are displayed in apps with various formats such as banner ads, button ads, open screen ads, and interstitial ads.</w:t>
            </w:r>
          </w:p>
        </w:tc>
        <w:tc>
          <w:tcPr>
            <w:tcW w:w="60" w:type="dxa"/>
            <w:tcBorders/>
            <w:shd w:fill="FFFFFF" w:val="clear"/>
            <w:vAlign w:val="center"/>
          </w:tcPr>
          <w:p>
            <w:pPr>
              <w:pStyle w:val="TableContents"/>
              <w:bidi w:val="0"/>
              <w:spacing w:before="0" w:after="283"/>
              <w:jc w:val="left"/>
              <w:rPr/>
            </w:pPr>
            <w:r>
              <w:rPr/>
              <w:t> </w:t>
            </w:r>
          </w:p>
        </w:tc>
        <w:tc>
          <w:tcPr>
            <w:tcW w:w="200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CPT, CPA</w:t>
            </w:r>
          </w:p>
        </w:tc>
        <w:tc>
          <w:tcPr>
            <w:tcW w:w="60"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fees; rebates and incentives</w:t>
            </w:r>
          </w:p>
        </w:tc>
      </w:tr>
      <w:tr>
        <w:trPr/>
        <w:tc>
          <w:tcPr>
            <w:tcW w:w="8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Social media ads</w:t>
            </w:r>
          </w:p>
        </w:tc>
        <w:tc>
          <w:tcPr>
            <w:tcW w:w="60" w:type="dxa"/>
            <w:tcBorders/>
            <w:shd w:fill="FFFFFF" w:val="clear"/>
            <w:vAlign w:val="center"/>
          </w:tcPr>
          <w:p>
            <w:pPr>
              <w:pStyle w:val="TableContents"/>
              <w:bidi w:val="0"/>
              <w:spacing w:before="0" w:after="283"/>
              <w:jc w:val="left"/>
              <w:rPr/>
            </w:pPr>
            <w:r>
              <w:rPr/>
              <w:t> </w:t>
            </w:r>
          </w:p>
        </w:tc>
        <w:tc>
          <w:tcPr>
            <w:tcW w:w="57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media ads take the form of contents appearing in the designated blogs or social media accounts with suitable target audience.</w:t>
            </w:r>
          </w:p>
        </w:tc>
        <w:tc>
          <w:tcPr>
            <w:tcW w:w="60" w:type="dxa"/>
            <w:tcBorders/>
            <w:shd w:fill="FFFFFF" w:val="clear"/>
            <w:vAlign w:val="center"/>
          </w:tcPr>
          <w:p>
            <w:pPr>
              <w:pStyle w:val="TableContents"/>
              <w:bidi w:val="0"/>
              <w:spacing w:before="0" w:after="283"/>
              <w:jc w:val="left"/>
              <w:rPr/>
            </w:pPr>
            <w:r>
              <w:rPr/>
              <w:t> </w:t>
            </w:r>
          </w:p>
        </w:tc>
        <w:tc>
          <w:tcPr>
            <w:tcW w:w="200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CPT</w:t>
            </w:r>
          </w:p>
        </w:tc>
        <w:tc>
          <w:tcPr>
            <w:tcW w:w="60"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fees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billing decreased from $18.8 million in 2023 to $12.1 million in 2024, representing a decrease of 35.6%, and increased to $18.4 million in 2025. In the meantime, the media costs decreased from $17.8 million in 2023 to $11.5 million in 2024, and increased to $17.8 million in 2025, representing a decrease of 35.8% and an increase of 55.2%, respectively. Our revenue on a net basis (i.e. difference between gross billing and media costs) has decreased, in tandem our advertiser base and their advertising spend, from $0.9 million in 2023 to $0.6 million in 2024 and $0.6 million in 2025, representing a decrease of 32.3% and a decrease of 8.8%,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2026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we entered into a subscription agreement with certain investors pursuant to which we agreed to issue and sell an aggregate of 25,000,000 Ordinary Shares for an aggregate purchase price of US$12,536,125. The shares offered for resale by the Selling Shareholders under this prospectus were issued in connection with this private placement. See “The Offering,” “Selling Shareholders” and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Equity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we entered into a subscription agreement with Anruitai Investment Limited pursuant to which we agreed to issue and sell 1,280,000 Ordinary Shares at a purchase price of US$0.52 per share. On July 10, 2026, we entered into a securities purchase agreement with High West Partners LLC providing for potential sales of up to US$30.0 million of Ordinary Shares. We terminated that agreement effective August 12, 2026, after having sold or issued an aggregate of 255,328 Ordinary Shares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Proposed Disposition of Certain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August 21, 2026, four of our PRC subsidiaries publicly listed certain long-aged accounts receivable and a prepaid account on the Beijing Equity Exchange for potential sale. As of April 30, 2026, the listed assets had an aggregate book balance of approximately RMB226.2 million and an aggregate appraised value of approximately RMB8.6 million. The listings do not themselves effect a sale, no purchaser has been selected, and completion of any transfer remains subject to the applicable listing, purchaser-selection and settlement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Proposed Share Capital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previously called an extraordinary general meeting of shareholders to consider, among other matters, proposals to increase our authorized share capital, establish Class A and Class B Ordinary Shares, amend the voting rights of the proposed Class B Ordinary Shares, implement a 40-for-1 share consolidation, reduce the par value of our shares following the share consolidation, and adopt amended and restated memorandum and articles of association. The extraordinary general meeting, which was originally scheduled to be held on September 4, 2026, was subsequently postponed indefinitely. The Company will announce the date, time and place of any rescheduled extraordinary general meeting, together with the applicable record date and related shareholder materials, in due course. Accordingly, these proposals remain subject to shareholder approval and other applicable conditions and have not taken effect as of the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East Floor 5, Building No. 8, Xishanhui, Shijingshan District, Beijing 100041, People’s Republic of China. Our telephone number at this address is +86-010-82088021. Our SEC file number is 001-39977 and our CIK number is 0001811216. Our registered office in the Cayman Islands is located at Ascentium (Cayman) Limited, 4th Floor, Harbour Place, 103 South Church Street, P.O. Box 10240, Grand Cayman KY1-1002,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Private Issuer and 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a foreign private issuer, we are permitted to take advantage of certain provisions in the Nasdaq Stock Market listing rules that allow us to follow Cayman Islands law for certain governance matters. Certain corporate governance practices in the Cayman Islands may differ significantly from corporate governance listing standards as, except for general fiduciary duties and duties of care, Cayman Islands law has no corporate governance regime which prescribes specific corporate governance standards. Pursuant to the home country rule exemption set forth under Nasdaq Listing Rule 5615, we elected to be exempt from the requirement under Nasdaq Listing Rule 5635(d), which requires to obtain shareholder approval for a business combination and to obtain shareholder approval for the issuance of 20% or more of our outstanding Ordinary Shares, and Nasdaq Listing Rule 5620(a), which requires that each company listing common stock or voting preferred stock, and their equivalents, shall hold an annual meeting of shareholders no later than one year after the end of the company’s fiscal year-end. Therefore, our shareholders may be afforded less protection than they otherwise would have under corporate governance listing standards applicable to U.S. domestic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are an “emerging growth company,” as defined in Section 2(a) of the Securities Act, as modified by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We are involved in winding-up proceedings in the Cayman Islands, and an adverse outcome could materially and adversely affect the validity of the issuance of the PIPE Shares by the Company to the Selling Shareholders and the resale of the PIPE Shares by the Selling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resale of a substantial number of Ordinary Shares covered by this prospectus could significantly increase the number of freely tradable Ordinary Shares in the public market and adversely affect the market price and liquidity of our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Selling Shareholders acquired the Ordinary Shares covered by this prospectus at different purchase prices, and their resales may place additional downward pressure on the market price of our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Our recent and future equity financings may result in further dilution and may place additional downward pressure on the market price of our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We are involved in legal proceedings and related disputes, and an adverse outcome—or the costs, diversion of management time, and reputational impact of defending these matters—could materially adversely affect 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0"/>
        <w:gridCol w:w="10036"/>
      </w:tblGrid>
      <w:tr>
        <w:trPr/>
        <w:tc>
          <w:tcPr>
            <w:tcW w:w="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rPr>
            </w:pPr>
            <w:r>
              <w:rPr>
                <w:rFonts w:ascii="Symbol" w:hAnsi="Symbol"/>
              </w:rPr>
              <w:t>·</w:t>
            </w:r>
          </w:p>
        </w:tc>
        <w:tc>
          <w:tcPr>
            <w:tcW w:w="10036" w:type="dxa"/>
            <w:tcBorders/>
            <w:vAlign w:val="center"/>
          </w:tcPr>
          <w:p>
            <w:pPr>
              <w:pStyle w:val="TableContents"/>
              <w:bidi w:val="0"/>
              <w:spacing w:before="0" w:after="283"/>
              <w:jc w:val="both"/>
              <w:rPr/>
            </w:pPr>
            <w:r>
              <w:rPr/>
              <w:t>Legal expenses incurred in litigation increase our operational costs and adversely affect our cash flow.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Cutbacks on advertising budgets by advertisers, changes in rebate and incentive policies by the media, failure to maintain and grow our advertiser base and secure emerging media resources could all materially and adversely affect our business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we fail to maintain our relationships with our business stakeholders, mainly advertisers and media, our business, results of operations, financial condition and business prospects could be materially and adversely affected.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Failure to appropriately evaluate the credit profile of our advertisers or effectively manage our credit risk associated with credit terms granted to our advertisers and/or delay in settlement of accounts receivable from our advertisers could materially and adversely impact our operating cash flow and may result in significant provisions and impairments on our accounts receivable which in turn would have a material adverse impact on our business operations, results of operation, financial condition and our business pursuits and prospects.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our advertisers delay in settlement of our accounts receivable or if we are unable to issue invoices to our advertisers on a timely basis, our business, financial condition and results of operations may be materially and adversely affected.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China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Changes in political and economic policies of the PRC government, could reduce the demand for our products and materially and adversely affect our competitive position.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Uncertainties changes regarding interpretation and enforcement of the laws, rules and regulations in China may impose adverse impact on our business, operations and profitability.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Changes in the policies, regulations, rules, and the enforcement of laws of the PRC government may be quick and could have a significant impact upon our ability to operate profitably in the PRC.</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regulatory measures implemented by the Chinese government may have an impact on our business, or may lead to stricter supervision of overseas issuances and/or foreign investment activities of issuers based in China,which could result in a material change in our operations, significantly limit or completely hinder our ability to offer or continue to offer securities to investors, and cause the value of our Ordinary Shares to significantly decline or be worthless.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Recent greater oversight by the Cyberspace Administration of China, or the CAC, over data security, particularly for companies seeking to list on a foreign exchange, could adversely impact our business and our offering.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Opinions on Severely Cracking Down on Illegal Securities Activities According to Law issued by the General Office of the Central Committee of the Communist Party of China and the General Office of the State Council may subject us to additional compliance requirement in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Ordinary Shares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Shares eligible for future sale may adversely affect the market price of our Ordinary Shares, as the future sale of a substantial amount of outstanding Ordinary Shares in the public marketplace could reduce the price of our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6"/>
        <w:gridCol w:w="10002"/>
      </w:tblGrid>
      <w:tr>
        <w:trPr/>
        <w:tc>
          <w:tcPr>
            <w:tcW w:w="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Symbol" w:hAnsi="Symbol"/>
              </w:rPr>
            </w:pPr>
            <w:r>
              <w:rPr>
                <w:rFonts w:ascii="Symbol" w:hAnsi="Symbol"/>
              </w:rPr>
              <w:t>·</w:t>
            </w:r>
          </w:p>
        </w:tc>
        <w:tc>
          <w:tcPr>
            <w:tcW w:w="10002" w:type="dxa"/>
            <w:tcBorders/>
            <w:vAlign w:val="center"/>
          </w:tcPr>
          <w:p>
            <w:pPr>
              <w:pStyle w:val="TableContents"/>
              <w:bidi w:val="0"/>
              <w:spacing w:before="0" w:after="283"/>
              <w:jc w:val="both"/>
              <w:rPr/>
            </w:pPr>
            <w:r>
              <w:rPr/>
              <w:t>We cannot assure you that we will declare and distribute any dividends in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5"/>
        <w:gridCol w:w="8260"/>
      </w:tblGrid>
      <w:tr>
        <w:trPr/>
        <w:tc>
          <w:tcPr>
            <w:tcW w:w="19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w:t>
            </w:r>
          </w:p>
        </w:tc>
        <w:tc>
          <w:tcPr>
            <w:tcW w:w="8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Baosheng Media Group Holdings Limited</w:t>
            </w:r>
          </w:p>
        </w:tc>
      </w:tr>
      <w:tr>
        <w:trPr/>
        <w:tc>
          <w:tcPr>
            <w:tcW w:w="19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Securities offered by the Selling Shareholders</w:t>
            </w:r>
          </w:p>
        </w:tc>
        <w:tc>
          <w:tcPr>
            <w:tcW w:w="8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 aggregate of 25,000,000 Ordinary Shares, par value US$0.0096 per share. </w:t>
            </w:r>
          </w:p>
        </w:tc>
      </w:tr>
      <w:tr>
        <w:trPr/>
        <w:tc>
          <w:tcPr>
            <w:tcW w:w="19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Selling Shareholders</w:t>
            </w:r>
          </w:p>
        </w:tc>
        <w:tc>
          <w:tcPr>
            <w:tcW w:w="8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22 Selling Shareholders identified in the section entitled “Selling Shareholders.”</w:t>
            </w:r>
          </w:p>
        </w:tc>
      </w:tr>
      <w:tr>
        <w:trPr/>
        <w:tc>
          <w:tcPr>
            <w:tcW w:w="19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Offering price</w:t>
            </w:r>
          </w:p>
        </w:tc>
        <w:tc>
          <w:tcPr>
            <w:tcW w:w="8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Selling Shareholders may sell the Ordinary Shares from time to time at fixed prices, prevailing market prices, prices related to prevailing market prices, varying prices determined at the time of sale, negotiated prices or any other prices permitted by applicable law. The Selling Shareholders, and not us, will determine the timing and price of any sales. No minimum offering price has been established. See “Plan of Distribution.”</w:t>
            </w:r>
          </w:p>
        </w:tc>
      </w:tr>
      <w:tr>
        <w:trPr/>
        <w:tc>
          <w:tcPr>
            <w:tcW w:w="19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 price paid by the Selling Shareholders</w:t>
            </w:r>
          </w:p>
        </w:tc>
        <w:tc>
          <w:tcPr>
            <w:tcW w:w="8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 the Ordinary Shares covered by this prospectus, 24,880,018 Ordinary Shares were acquired at US$0.492 per share and 119,982 Ordinary Shares were acquired at US$2.46 per share.</w:t>
            </w:r>
          </w:p>
        </w:tc>
      </w:tr>
      <w:tr>
        <w:trPr/>
        <w:tc>
          <w:tcPr>
            <w:tcW w:w="19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Expenses charged to purchasers</w:t>
            </w:r>
          </w:p>
        </w:tc>
        <w:tc>
          <w:tcPr>
            <w:tcW w:w="8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will not charge purchasers any expenses in connection with their purchases of the Ordinary Shares. Purchasers may, however, be required to pay brokerage commissions or other transaction costs in connection with purchases effected through broker-dealers or other intermediaries.</w:t>
            </w:r>
          </w:p>
        </w:tc>
      </w:tr>
      <w:tr>
        <w:trPr/>
        <w:tc>
          <w:tcPr>
            <w:tcW w:w="19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Ordinary Shares outstanding before and after the offering</w:t>
            </w:r>
          </w:p>
        </w:tc>
        <w:tc>
          <w:tcPr>
            <w:tcW w:w="8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33,369,815 Ordinary Shares as of August 24, 2026. Because all of the Ordinary Shares covered by this prospectus are already issued and outstanding, their resale by the Selling Shareholders will not increase or otherwise change the number of Ordinary Shares issued and outstanding.</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37"/>
        <w:gridCol w:w="8668"/>
      </w:tblGrid>
      <w:tr>
        <w:trPr/>
        <w:tc>
          <w:tcPr>
            <w:tcW w:w="1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Terms of the offering</w:t>
            </w:r>
          </w:p>
        </w:tc>
        <w:tc>
          <w:tcPr>
            <w:tcW w:w="8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Selling Shareholders may sell all, some or none of the Ordinary Shares covered by this prospectus from time to time through the methods described under “Plan of Distribution.” We cannot predict when or in what amounts the Selling Shareholders may sell the Ordinary Shares.</w:t>
            </w:r>
          </w:p>
        </w:tc>
      </w:tr>
      <w:tr>
        <w:trPr/>
        <w:tc>
          <w:tcPr>
            <w:tcW w:w="1537" w:type="dxa"/>
            <w:tcBorders/>
            <w:vAlign w:val="center"/>
          </w:tcPr>
          <w:p>
            <w:pPr>
              <w:pStyle w:val="TableContents"/>
              <w:bidi w:val="0"/>
              <w:spacing w:before="0" w:after="283"/>
              <w:jc w:val="left"/>
              <w:rPr>
                <w:b/>
              </w:rPr>
            </w:pPr>
            <w:r>
              <w:rPr>
                <w:b/>
              </w:rPr>
              <w:t>Voting rights</w:t>
            </w:r>
          </w:p>
        </w:tc>
        <w:tc>
          <w:tcPr>
            <w:tcW w:w="8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Ordinary Share is entitled to one vote on all matters upon which the Ordinary Shares are entitled to vote. See “Description of Share Capital.”</w:t>
            </w:r>
          </w:p>
        </w:tc>
      </w:tr>
      <w:tr>
        <w:trPr/>
        <w:tc>
          <w:tcPr>
            <w:tcW w:w="1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Transferability</w:t>
            </w:r>
          </w:p>
        </w:tc>
        <w:tc>
          <w:tcPr>
            <w:tcW w:w="8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Following the effectiveness of the registration statement of which this prospectus forms a part, the Ordinary Shares covered by this prospectus may be resold pursuant to this prospectus, subject to applicable securities laws, the terms of this prospectus and any contractual restrictions applicable to the relevant Selling Shareholder. Transfers of the Ordinary Shares are also subject to our memorandum and articles of association and applicable Cayman Islands law. See “Description of Share Capital” and “Plan of Distribution.”</w:t>
            </w:r>
          </w:p>
        </w:tc>
      </w:tr>
      <w:tr>
        <w:trPr/>
        <w:tc>
          <w:tcPr>
            <w:tcW w:w="1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8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will not receive any proceeds from the sale of the Ordinary Shares by the Selling Shareholders. The Selling Shareholders will receive all net proceeds from their respective sales.</w:t>
            </w:r>
          </w:p>
        </w:tc>
      </w:tr>
      <w:tr>
        <w:trPr/>
        <w:tc>
          <w:tcPr>
            <w:tcW w:w="1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Trading market and symbol</w:t>
            </w:r>
          </w:p>
        </w:tc>
        <w:tc>
          <w:tcPr>
            <w:tcW w:w="8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Ordinary Shares are listed on the Nasdaq Capital Market under the symbol “BAOS.”</w:t>
            </w:r>
          </w:p>
        </w:tc>
      </w:tr>
      <w:tr>
        <w:trPr/>
        <w:tc>
          <w:tcPr>
            <w:tcW w:w="1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factors</w:t>
            </w:r>
          </w:p>
        </w:tc>
        <w:tc>
          <w:tcPr>
            <w:tcW w:w="8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Investing in our Ordinary Shares involves substantial risks. See “Risk Factors” in this prospectus and the risk factors contained in our annual report on Form 20-F and other reports incorporated herein by reference.</w:t>
            </w:r>
          </w:p>
        </w:tc>
      </w:tr>
    </w:tbl>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the number of Ordinary Shares outstanding set forth above is based on the certified shareholder list furnished by our transfer agent as of 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caps w:val="false"/>
          <w:smallCaps w:val="false"/>
          <w:sz w:val="20"/>
          <w:shd w:fill="FFFFFF" w:val="clear"/>
        </w:rPr>
        <w:t>Investing in any securities offered pursuant to this prospectus and the applicable prospectus supplement involves risks.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An investment in our Ordinary Shares involves a high degree of risk. Before purchasing any Ordinary Shares, you should carefully consider the risks described below and under Item 3.D, “Key Information—Risk Factors,” in our </w:t>
      </w:r>
      <w:hyperlink r:id="rId7">
        <w:r>
          <w:rPr>
            <w:rStyle w:val="InternetLink"/>
            <w:rFonts w:ascii="Times New Roman;Times;Serif" w:hAnsi="Times New Roman;Times;Serif"/>
            <w:b w:val="false"/>
            <w:i/>
            <w:caps w:val="false"/>
            <w:smallCaps w:val="false"/>
            <w:sz w:val="20"/>
          </w:rPr>
          <w:t>annual report on Form 20-F for the year ended December 31, 2025</w:t>
        </w:r>
      </w:hyperlink>
      <w:r>
        <w:rPr>
          <w:rFonts w:ascii="Times New Roman;Times;Serif" w:hAnsi="Times New Roman;Times;Serif"/>
          <w:b w:val="false"/>
          <w:i/>
          <w:caps w:val="false"/>
          <w:smallCaps w:val="false"/>
          <w:sz w:val="20"/>
        </w:rPr>
        <w:t>, together with all other information contained or incorporated by reference in this prospectus. Any of these risks could materially and adversely affect our business, financial condition, results of operations or the value and trading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involved in winding-up proceedings in the Cayman Islands, and an adverse outcome could materially and adversely affect the validity of the issuance of the PIPE Shares by the Company to the Selling Shareholders and the resale of the PIPE Shares by the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2024, Orient Plus International Limited (the “Petitioner”) filed with the Grand Court of the Cayman Islands a winding up petition (“Petition”), seeking an order that our company be wound up pursuant to section 92(e) of the Companies Act (As Revised) of the Cayman Islands (the “Companies Act”), claiming that the management of our company have acted unfairly and/or oppressively towards the Petitioner, the other investors and other minority shareholders, and/or the affairs of our company have been conducted with a lack of probity, and the Petitioner and the other investors have justifiably lost confidence in the management of our company. By a summons dated July 10, 2024, our company applied for an order striking out the Petition, which was heard by the court on October 17, 2024. The court dismissed the summons on October 30, 2024. The legal proceedings are currently ongoing. As of the date of this report, the parties are in the midst of discovery. Our company believes that the Petition is without any merit and intends to defend the matter vigorously. This legal proceeding may continue for an extended period of time, and we cannot predict their outcome.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section 99 of the Companies Act, when a winding-up order has been made, any disposition of the company’s property and any transfer of shares or alteration in the status of the company’s members made after the commencement of the winding-up (i.e., the date when the Petition was first filed) is void, unless the Grand Court of the Cayman Islands otherwise orders. The Company does not plan to obtain a validation order and if this proceeding is determined adversely and a winding-up order is made against the Company, the issuance and allotment of the PIPE Shares by the Company to the Selling Shareholders and the resale of the PIPE Shares by the Selling Shareholders under this prospectus would be rendered void and the register of members of the Company shall revert to the position as at the date of the presentation of the winding-up petition.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resale of a substantial number of Ordinary Shares covered by this prospectus could significantly increase the number of freely tradable Ordinary Shares in the public market and adversely affect the market price and liquidity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of 25,000,000 Ordinary Shares, representing approximately 74.9% of the 33,369,815 Ordinary Shares issued and outstanding as of 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effectiveness of the registration statement of which this prospectus forms a part, the Selling Shareholders may sell all, some or none of the Ordinary Shares covered by this prospectus at any time and from time to time. Such resales could substantially increase the number of Ordinary Shares available for public trading. Sales of a substantial number of Ordinary Shares, or the perception that such sales may occur, could increase the supply of our Ordinary Shares in the public market, depress the market price of our Ordinary Shares and increase volatility in their price and trading volume. These effects may be particularly significant because the existing trading market for our Ordinary Shares has limited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such a substantial number of Ordinary Shares for resale could also make it more difficult for existing shareholders to sell their Ordinary Shares at desired prices or times and could impair our ability to raise additional capital through future equity financings on favorable terms, or at all. We cannot predict when or in what amounts the Selling Shareholders may sell the Ordinary Shares covered by this prospectus or the effect that such sales may have on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Selling Shareholders acquired the Ordinary Shares covered by this prospectus at different purchase prices, and their resales may place additional downward pressure on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25,000,000 Ordinary Shares covered by this prospectus, 24,880,018 Ordinary Shares were acquired by certain Selling Shareholders at a purchase price of US$0.492 per share, and 119,982 Ordinary Shares were acquired by certain other Selling Shareholders at a purchase price of US$2.46 per share. The weighted-average purchase price paid for all of the Ordinary Shares covered by this prospectus was approximately US$0.501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paid by the Selling Shareholders may be lower than the prices paid by public investors for our Ordinary Shares. To the extent that the market price of our Ordinary Shares exceeds a Selling Shareholder’s purchase price, such Selling Shareholder may be able to realize a profit even if the market price has declined from the price paid by public investors. As a result, the Selling Shareholders may have an incentive to sell their Ordinary Shares when the market price exceeds their respective purchase prices. Sales by the Selling Shareholders, or the perception that such sales may occur, could place downward pressure on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sales of the Ordinary Shares by the Selling Shareholders. Public investors who purchase Ordinary Shares from the Selling Shareholders may pay a price substantially higher than the applicable Selling Shareholder’s purchase price and may experience a decline in the value of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recent and future equity financings may result in further dilution and may place additional downward pressure on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25,000,000 Ordinary Shares issued pursuant to the Subscription Agreements dated June 5, 2026 and covered by this prospectus, on July 9, 2026, we entered into a separate subscription agreement with ANRUITAI INVESTMENT LIMITED for the issuance and sale of 1,280,000 Ordinary Shares at a purchase price of US$0.52 per share. On July 10, 2026, we also entered into a securities purchase agreement with High West Partners LLC relating to a potential equity financing of up to US$30 million. Although that financing arrangement was terminated effective August 12, 2026, 255,328 Ordinary Shares had been sold or issued pursuant to the arrangement prior to its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issuances have increased the number of our outstanding Ordinary Shares and diluted the ownership and voting interests of our existing shareholders. Although the resale of the Ordinary Shares covered by this prospectus will not itself increase the number of our issued and outstanding Ordinary Shares because those shares are already outstanding, the availability of these Ordinary Shares for resale, together with the Ordinary Shares issued in our other recent financings, could increase the supply of our Ordinary Shares in the public market and place additional downward pressure on their market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raise additional capital in the future to fund our operations, satisfy our obligations or pursue our business strategy. We may issue additional Ordinary Shares or securities convertible into or exercisable for Ordinary Shares at prices below the then-current market price or on terms that are more favorable than those available to existing shareholders. Any such issuance could result in substantial additional dilution, reduce the relative voting power of existing shareholders and further adversely affect the market price of our Ordinary Shares. We cannot assure you that additional financing will be available on acceptable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f3_20"/>
      <w:bookmarkEnd w:id="8"/>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 and indebtedness as of December 31, 2025, on an actual basis, as derived from our audited consolidated balance sheet as of December 31, 2025, which is incorporated by reference into this prospectus, and on a pro forma basis to give effect to the completed issuances of Ordinary Shares described below that occurred after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25,000,000 Ordinary Shares offered for resale by the Selling Shareholders pursuant to this prospectus are already issued and outstanding. Accordingly, the resale of such Ordinary Shares will not result in any further adjustment to our capitalization or indebtedness.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together with “Item 5. Operating and Financial Review and Prospects” of the 2025 Form 20-F, the “Management’s Discussion and Analysis of Financial Condition and Results of Operations,” and our consolidated financial statements and notes included in the information incorporated by reference into this prospectus and the accompanying prospectus.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54"/>
        <w:gridCol w:w="60"/>
        <w:gridCol w:w="125"/>
        <w:gridCol w:w="1010"/>
        <w:gridCol w:w="80"/>
        <w:gridCol w:w="60"/>
        <w:gridCol w:w="125"/>
        <w:gridCol w:w="1010"/>
        <w:gridCol w:w="81"/>
      </w:tblGrid>
      <w:tr>
        <w:trPr/>
        <w:tc>
          <w:tcPr>
            <w:tcW w:w="765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491" w:type="dxa"/>
            <w:gridSpan w:val="7"/>
            <w:tcBorders>
              <w:bottom w:val="single" w:sz="8" w:space="0" w:color="000000"/>
            </w:tcBorders>
            <w:tcMar>
              <w:bottom w:w="28" w:type="dxa"/>
            </w:tcMar>
            <w:vAlign w:val="center"/>
          </w:tcPr>
          <w:p>
            <w:pPr>
              <w:pStyle w:val="TableContents"/>
              <w:bidi w:val="0"/>
              <w:spacing w:before="0" w:after="283"/>
              <w:ind w:left="0" w:right="0" w:hanging="180"/>
              <w:jc w:val="center"/>
              <w:rPr>
                <w:b/>
                <w:sz w:val="20"/>
              </w:rPr>
            </w:pPr>
            <w:r>
              <w:rPr>
                <w:b/>
                <w:sz w:val="20"/>
              </w:rPr>
              <w:t>December 31, 2025</w:t>
            </w:r>
          </w:p>
        </w:tc>
      </w:tr>
      <w:tr>
        <w:trPr/>
        <w:tc>
          <w:tcPr>
            <w:tcW w:w="76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Actual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w:t>
            </w:r>
          </w:p>
        </w:tc>
        <w:tc>
          <w:tcPr>
            <w:tcW w:w="81" w:type="dxa"/>
            <w:tcBorders/>
            <w:vAlign w:val="center"/>
          </w:tcPr>
          <w:p>
            <w:pPr>
              <w:pStyle w:val="TableContents"/>
              <w:bidi w:val="0"/>
              <w:spacing w:before="0" w:after="283"/>
              <w:ind w:left="0" w:right="0" w:hanging="180"/>
              <w:jc w:val="left"/>
              <w:rPr/>
            </w:pPr>
            <w:r>
              <w:rPr/>
              <w:t> </w:t>
            </w:r>
          </w:p>
        </w:tc>
      </w:tr>
      <w:tr>
        <w:trPr/>
        <w:tc>
          <w:tcPr>
            <w:tcW w:w="7654" w:type="dxa"/>
            <w:tcBorders/>
            <w:shd w:fill="CCEEFF" w:val="clear"/>
            <w:vAlign w:val="center"/>
          </w:tcPr>
          <w:p>
            <w:pPr>
              <w:pStyle w:val="TableContents"/>
              <w:bidi w:val="0"/>
              <w:spacing w:before="0" w:after="283"/>
              <w:jc w:val="left"/>
              <w:rPr>
                <w:sz w:val="20"/>
              </w:rPr>
            </w:pPr>
            <w:r>
              <w:rPr>
                <w:sz w:val="20"/>
              </w:rPr>
              <w:t>Short-term bank borrowings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10" w:type="dxa"/>
            <w:tcBorders/>
            <w:shd w:fill="CCEEFF" w:val="clear"/>
            <w:vAlign w:val="center"/>
          </w:tcPr>
          <w:p>
            <w:pPr>
              <w:pStyle w:val="TableContents"/>
              <w:bidi w:val="0"/>
              <w:spacing w:before="0" w:after="283"/>
              <w:jc w:val="right"/>
              <w:rPr>
                <w:sz w:val="20"/>
              </w:rPr>
            </w:pPr>
            <w:r>
              <w:rPr>
                <w:sz w:val="20"/>
              </w:rPr>
              <w:t>730,720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10" w:type="dxa"/>
            <w:tcBorders/>
            <w:shd w:fill="CCEEFF" w:val="clear"/>
            <w:vAlign w:val="center"/>
          </w:tcPr>
          <w:p>
            <w:pPr>
              <w:pStyle w:val="TableContents"/>
              <w:bidi w:val="0"/>
              <w:spacing w:before="0" w:after="283"/>
              <w:jc w:val="right"/>
              <w:rPr>
                <w:sz w:val="20"/>
              </w:rPr>
            </w:pPr>
            <w:r>
              <w:rPr>
                <w:sz w:val="20"/>
              </w:rPr>
              <w:t>730,720</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7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7654" w:type="dxa"/>
            <w:tcBorders/>
            <w:shd w:fill="CCEEFF" w:val="clear"/>
            <w:vAlign w:val="center"/>
          </w:tcPr>
          <w:p>
            <w:pPr>
              <w:pStyle w:val="TableContents"/>
              <w:bidi w:val="0"/>
              <w:spacing w:before="0" w:after="283"/>
              <w:jc w:val="left"/>
              <w:rPr>
                <w:b/>
                <w:sz w:val="20"/>
              </w:rPr>
            </w:pPr>
            <w:r>
              <w:rPr>
                <w:b/>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7654" w:type="dxa"/>
            <w:tcBorders/>
            <w:shd w:fill="FFFFFF" w:val="clear"/>
            <w:vAlign w:val="center"/>
          </w:tcPr>
          <w:p>
            <w:pPr>
              <w:pStyle w:val="TableContents"/>
              <w:bidi w:val="0"/>
              <w:spacing w:before="0" w:after="283"/>
              <w:jc w:val="left"/>
              <w:rPr>
                <w:sz w:val="20"/>
              </w:rPr>
            </w:pPr>
            <w:r>
              <w:rPr>
                <w:sz w:val="20"/>
              </w:rPr>
              <w:t>Ordinary Shares (par value $0.0096 per share, 1,000,000,000 shares authorized; 1,534,487 shares issued and outstanding on an actual basis; 33,369,815 shares issued and 8,369,815 shares outstanding on a pro forma basis; 33,369,815 shares issued and outstanding on a pro forma as adjusted basis)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14,731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320,350</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7654" w:type="dxa"/>
            <w:tcBorders/>
            <w:shd w:fill="CCEEFF" w:val="clear"/>
            <w:vAlign w:val="center"/>
          </w:tcPr>
          <w:p>
            <w:pPr>
              <w:pStyle w:val="TableContents"/>
              <w:bidi w:val="0"/>
              <w:spacing w:before="0" w:after="283"/>
              <w:jc w:val="left"/>
              <w:rPr>
                <w:sz w:val="20"/>
              </w:rPr>
            </w:pPr>
            <w:r>
              <w:rPr>
                <w:sz w:val="20"/>
              </w:rPr>
              <w:t>Additional paid-in capital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41,564,418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69,296,883</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7654" w:type="dxa"/>
            <w:tcBorders/>
            <w:shd w:fill="FFFFFF" w:val="clear"/>
            <w:vAlign w:val="center"/>
          </w:tcPr>
          <w:p>
            <w:pPr>
              <w:pStyle w:val="TableContents"/>
              <w:bidi w:val="0"/>
              <w:spacing w:before="0" w:after="283"/>
              <w:jc w:val="left"/>
              <w:rPr>
                <w:sz w:val="20"/>
              </w:rPr>
            </w:pPr>
            <w:r>
              <w:rPr>
                <w:sz w:val="20"/>
              </w:rPr>
              <w:t>Statutory reserves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898,133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898,133</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7654" w:type="dxa"/>
            <w:tcBorders/>
            <w:shd w:fill="CCEEFF" w:val="clear"/>
            <w:vAlign w:val="center"/>
          </w:tcPr>
          <w:p>
            <w:pPr>
              <w:pStyle w:val="TableContents"/>
              <w:bidi w:val="0"/>
              <w:spacing w:before="0" w:after="283"/>
              <w:jc w:val="left"/>
              <w:rPr>
                <w:sz w:val="20"/>
              </w:rPr>
            </w:pPr>
            <w:r>
              <w:rPr>
                <w:sz w:val="20"/>
              </w:rPr>
              <w:t>Accumulated deficits (2)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(35,480,426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(50,161,426</w:t>
            </w:r>
          </w:p>
        </w:tc>
        <w:tc>
          <w:tcPr>
            <w:tcW w:w="81"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7654" w:type="dxa"/>
            <w:tcBorders/>
            <w:shd w:fill="FFFFFF" w:val="clear"/>
            <w:vAlign w:val="center"/>
          </w:tcPr>
          <w:p>
            <w:pPr>
              <w:pStyle w:val="TableContents"/>
              <w:bidi w:val="0"/>
              <w:spacing w:before="0" w:after="283"/>
              <w:jc w:val="left"/>
              <w:rPr>
                <w:sz w:val="20"/>
              </w:rPr>
            </w:pPr>
            <w:r>
              <w:rPr>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(3,709,544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(3,709,544</w:t>
            </w:r>
          </w:p>
        </w:tc>
        <w:tc>
          <w:tcPr>
            <w:tcW w:w="81"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7654" w:type="dxa"/>
            <w:tcBorders/>
            <w:shd w:fill="CCEEFF" w:val="clear"/>
            <w:vAlign w:val="center"/>
          </w:tcPr>
          <w:p>
            <w:pPr>
              <w:pStyle w:val="TableContents"/>
              <w:bidi w:val="0"/>
              <w:spacing w:before="0" w:after="283"/>
              <w:jc w:val="left"/>
              <w:rPr>
                <w:b/>
                <w:sz w:val="20"/>
              </w:rPr>
            </w:pPr>
            <w:r>
              <w:rPr>
                <w:b/>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3,287,312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16,644,396</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7654" w:type="dxa"/>
            <w:tcBorders/>
            <w:shd w:fill="FFFFFF" w:val="clear"/>
            <w:vAlign w:val="center"/>
          </w:tcPr>
          <w:p>
            <w:pPr>
              <w:pStyle w:val="TableContents"/>
              <w:bidi w:val="0"/>
              <w:spacing w:before="0" w:after="283"/>
              <w:jc w:val="left"/>
              <w:rPr>
                <w:b/>
                <w:sz w:val="20"/>
              </w:rPr>
            </w:pPr>
            <w:r>
              <w:rPr>
                <w:b/>
                <w:sz w:val="20"/>
              </w:rPr>
              <w:t>Total Capitalization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4,018,032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17,375,116</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26"/>
        <w:gridCol w:w="9942"/>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pPr>
            <w:r>
              <w:rPr/>
              <w:t>(1)</w:t>
            </w:r>
          </w:p>
        </w:tc>
        <w:tc>
          <w:tcPr>
            <w:tcW w:w="9942" w:type="dxa"/>
            <w:tcBorders/>
            <w:shd w:fill="FFFFFF" w:val="clear"/>
            <w:vAlign w:val="center"/>
          </w:tcPr>
          <w:p>
            <w:pPr>
              <w:pStyle w:val="TableContents"/>
              <w:bidi w:val="0"/>
              <w:spacing w:before="0" w:after="283"/>
              <w:jc w:val="both"/>
              <w:rPr/>
            </w:pPr>
            <w:r>
              <w:rPr/>
              <w:t>Additional paid-in capital on a pro forma basis reflects the issuance of 5,300,000 Ordinary shares, at per share price of $2.77 to certain consultants on June 18, 2026, sale of 1,280,000 Ordinary shares to Anruitai Investment Limited, at per share price of $0.52, on July 9, 2026, issuance and sale of 25,000,000 Ordinary shares pursuant to the Subscription Agreement dated June 5, 2026 and sale of 255,328 Ordinary Shares under a securities purchase agreement with High West Partners LLC relating to a potential equity financing of up to US$30 million which was terminated effective August 12, 2026.</w:t>
            </w:r>
          </w:p>
        </w:tc>
      </w:tr>
    </w:tbl>
    <w:p>
      <w:pPr>
        <w:pStyle w:val="TextBody"/>
        <w:shd w:fill="FFFFFF" w:val="clear"/>
        <w:bidi w:val="0"/>
        <w:spacing w:before="0" w:after="0"/>
        <w:ind w:left="36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48"/>
        <w:gridCol w:w="9920"/>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48" w:type="dxa"/>
            <w:tcBorders/>
            <w:shd w:fill="FFFFFF" w:val="clear"/>
            <w:vAlign w:val="center"/>
          </w:tcPr>
          <w:p>
            <w:pPr>
              <w:pStyle w:val="TableContents"/>
              <w:bidi w:val="0"/>
              <w:spacing w:before="0" w:after="283"/>
              <w:jc w:val="left"/>
              <w:rPr/>
            </w:pPr>
            <w:r>
              <w:rPr/>
              <w:t>(2)</w:t>
            </w:r>
          </w:p>
        </w:tc>
        <w:tc>
          <w:tcPr>
            <w:tcW w:w="9920" w:type="dxa"/>
            <w:tcBorders/>
            <w:shd w:fill="FFFFFF" w:val="clear"/>
            <w:vAlign w:val="center"/>
          </w:tcPr>
          <w:p>
            <w:pPr>
              <w:pStyle w:val="TableContents"/>
              <w:bidi w:val="0"/>
              <w:spacing w:before="0" w:after="283"/>
              <w:jc w:val="both"/>
              <w:rPr/>
            </w:pPr>
            <w:r>
              <w:rPr/>
              <w:t>Accumulated deficits on a pro forma basis reflect the share-based compensation expenses of $14.7 million from issuance of 5,300,000 Ordinary shares, at per share price of $2.77 to certain consultants on June 18, 2026.</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Ordinary Shares by the Selling Shareholders. We received aggregate gross proceeds of US$12,536,125 upon the issuance of the Ordinary Shares. The Selling Shareholders will receive all net proceeds from their sales, after deducting any underwriting discounts, commissions, transfer taxes and other selling expenses borne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will bear all costs, expenses and fees in connection with the registration of the Ordinary Shares offered by the Selling Shareholders pursuant to this prospectus, whereas the Selling Shareholders will bear all incremental selling expenses, including commissions, brokerage fees and other similar selling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Ordinary Shares and do not presently plan to pay cash dividends in the foreseeable future. We currently intend to retain available funds and future earnings, if any, to operate and expand our business. Our ability to pay dividends is subject to Cayman Islands law and restrictions on the ability of our subsidiaries to distribute funds to us, including PRC laws and regulations. See our Form 20-F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Cayman Islands company may pay a dividend out of either its profit or share premium account, but a dividend may not be paid if this would result in the company being unable to pay its debts as they fall due in the ordinary course of business. Dividends can be declared and paid out of funds lawfully available to us, which include the share premium account. According to our Articles of Association, except as otherwise provided by the rights attached to our ordinary shares, all dividends must be declared and paid according to the amounts paid up on the ordinary shares on which the dividend is paid. All dividends must be apportioned and paid proportionately to the amount paid up on the ordinary shares during the time or part of the time in respect of which the dividend is paid. However, if an ordinary share is issued on terms providing that it will rank for dividend as from a particular date, then that ordinary share will rank for dividend accordingly. For further information, see our Form 20-F “Taxation — Cayman Islands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determine to pay dividends on any of our ordinary shares in the future, as a holding company, we will be dependent on receipt of funds from our operations in overseas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information regarding the Selling Shareholders and the Ordinary Shares that they may offer under this prospectus. The information is based on questionnaires supplied by the Selling Shareholders and Company records. Beneficial ownership is determined in accordance with Rule 13d-3 under the Exchange Act and generally includes voting or investment power over securities and securities that a person has the right to acquire within 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beneficially owned after the offering assumes that each Selling Shareholder sells all Ordinary Shares offered by it and does not acquire or dispose of any other Ordinary Shares. A Selling Shareholder may sell all, some or none of the Ordinary Shares listed. Percentages are calculated using 33,369,815 Ordinary Shares outstanding as of 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column sets forth the number of Ordinary Shares beneficially owned by each Selling Shareholder before the offering. The third column sets forth the maximum number of Ordinary Shares that each Selling Shareholder may offer for resale pursuant to this prospectus. The fourth and fifth columns set forth, respectively, the number and percentage of Ordinary Shares that each Selling Shareholder would beneficially own after the offering, assuming that such Selling Shareholder sells all of the Ordinary Shares offered hereby and does not acquire or dispose of any other Ordinary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sell all, some or none of the Ordinary Shares listed below. See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63"/>
        <w:gridCol w:w="60"/>
        <w:gridCol w:w="78"/>
        <w:gridCol w:w="1254"/>
        <w:gridCol w:w="60"/>
        <w:gridCol w:w="60"/>
        <w:gridCol w:w="83"/>
        <w:gridCol w:w="1334"/>
        <w:gridCol w:w="60"/>
        <w:gridCol w:w="60"/>
        <w:gridCol w:w="337"/>
        <w:gridCol w:w="703"/>
        <w:gridCol w:w="60"/>
        <w:gridCol w:w="60"/>
        <w:gridCol w:w="197"/>
        <w:gridCol w:w="858"/>
        <w:gridCol w:w="78"/>
      </w:tblGrid>
      <w:tr>
        <w:trPr/>
        <w:tc>
          <w:tcPr>
            <w:tcW w:w="486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Shareholder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Ordinary</w:t>
              <w:br/>
              <w:t>Shares Owned</w:t>
              <w:br/>
              <w:t>Before Offering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7"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Offered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br/>
              <w:t>Beneficially</w:t>
              <w:br/>
              <w:t xml:space="preserve">Owned </w:t>
              <w:br/>
              <w:t>After</w:t>
              <w:br/>
              <w:t>Offering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w:t>
              <w:br/>
              <w:t>Outstanding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Sale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Shares</w:t>
            </w:r>
          </w:p>
        </w:tc>
        <w:tc>
          <w:tcPr>
            <w:tcW w:w="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NAVIGATORS CAPITAL MANAGEMENT CO., LIMITED (1)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ZENITH HOTEL MANAGEMENT LTD (2)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GLOBALLINK COMMERCE LTD (3)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GLOBALLINK TRADE LTD (4)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PROELITE TALENT SERVICES LIMITED (5)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NEUROSPHERE FUTURE CO., LTD. (6)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HUAMAOTONG INTERNATIONAL TRADING CO., LTD. (7)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Liu Menghai (8)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Yao Lili (9)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 Congyan (10)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AETHERBIO LTD (11)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BIOSOURCE LTD (12)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VISIONARY CONSULTING LTD (13)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PRIMEGOODS E-COMMERCE LTD (14)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STELLAR WAYFARER JOURNEYS LTD (15)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CLEVERAI LTD (16)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ZENITHPOINT CONSULTING LTD (17)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SMARTMOTION LTD (18)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1,160,018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1,160,018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COSMOTRADE LTD (19)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WIINEX TECHNOLOGY LIMITED (20)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 Xudan (21)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WELFARE HAPPINESS technology LTD (22)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63"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4"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1,280,000 Ordinary Shares issued in connection with the Subscription Agreement. NAVIGATORS CAPITAL MANAGEMENT CO., LIMITED’s address is Flat A516, 5/F, Efficiency House, 35 Tai Yau Street, San Po Kong, Hong Kong. Xianzhi Liu, as the director identified in the Selling Shareholder Questionnaire, exercises voting and dispositive power over the Ordinary Shares held by NAVIGATORS CAPITAL MANAGEMENT CO.,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Represents 1,250,000 Ordinary Shares issued in connection with the Subscription Agreement. ZENITH HOTEL MANAGEMENT LTD’s address is 204 City V Mansion, Taihu Town, Tongzhou District, Beijing, China. Jifeng Gao, as the director identified in the Selling Shareholder Questionnaire, exercises voting and dispositive power over the Ordinary Shares held by ZENITH HOTEL MANAGEMENT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Represents 1,230,000 Ordinary Shares issued in connection with the Subscription Agreement. GLOBALLINK COMMERCE LTD’s address is Room D1103, Shouchuang Starry Sky Phase Cluster, Chaoyang District, Beijing, China. Dongping Liu, as the director identified in the Selling Shareholder Questionnaire, exercises voting and dispositive power over the Ordinary Shares held by GLOBALLINK COMMERCE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Represents 1,220,000 Ordinary Shares issued in connection with the Subscription Agreement. GLOBALLINK TRADE LTD’s address is 100 N Howard St, Ste R, Spokane, Washington 99201. Yanhui Guan, as the director identified in the Selling Shareholder Questionnaire, exercises voting and dispositive power over the Ordinary Shares held by GLOBALLINK TRADE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Represents 1,270,000 Ordinary Shares issued in connection with the Subscription Agreement. PROELITE TALENT SERVICES LIMITED’s address is Room 1105, 11/F, Block C, Phase 1, Kwai Shing Industrial Building, 36-40 Tai Lin Pai Road, Hong Kong. Lin Jiang, as the director identified in the Selling Shareholder Questionnaire, exercises voting and dispositive power over the Ordinary Shares held by PROELITE TALENT SERVICES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Represents 1,230,000 Ordinary Shares issued in connection with the Subscription Agreement. NEUROSPHERE FUTURE CO., LTD.’s address is Room H11, 1/F, Kaiser Estate, Phase 2, No. 51 Man Yue Street, Hung Hom, Hong Kong. Yanjun Jiang, as the director identified in the Selling Shareholder Questionnaire, exercises voting and dispositive power over the Ordinary Shares held by NEUROSPHERE FUTURE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Represents 1,290,000 Ordinary Shares issued in connection with the Subscription Agreement. HUAMAOTONG INTERNATIONAL TRADING CO., LTD.’s address is Room 602, Building 6, Qiru Commercial Building, 2C Argyle Street, Mong Kok, Kowloon, Hong Kong. Yanting Wu, as the director identified in the Selling Shareholder Questionnaire, exercises voting and dispositive power over the Ordinary Shares held by HUAMAOTONG INTERNATIONAL TRADING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Represents 1,300,000 Ordinary Shares issued in connection with the Subscription Agreement. Liu Menghai’s address is 202, Unit 3, Building 2, Xin Huayuan Community, Baoqing County, Shuangyashan, China. Liu Menghai exercises voting and dispositive power over the Ordinary Shares held directly by Liu Menghai.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Represents 1,210,000 Ordinary Shares issued in connection with the Subscription Agreement. Yao Lili’s address is Room 402, Unit 4, Building 24, Honglin Modern City, Wuchang, China. Yao Lili exercises voting and dispositive power over the Ordinary Shares held directly by Yao Lili.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Represents 1,240,000 Ordinary Shares issued in connection with the Subscription Agreement. Chen Congyan’s address is No. 101, South Street, Jiazhuang Village, Zhuangke Township, Quyang County, Baoding, China. Chen Congyan exercises voting and dispositive power over the Ordinary Shares held directly by Chen Congyan.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Represents 1,270,000 Ordinary Shares issued in connection with the Subscription Agreement. AETHERBIO LTD’s address is 30 N Gould Street, Suite R, Sheridan, Wyoming. Jilu Liu, as the director identified in the Selling Shareholder Questionnaire, exercises voting and dispositive power over the Ordinary Shares held by AETHERBIO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Represents 1,230,000 Ordinary Shares issued in connection with the Subscription Agreement. BIOSOURCE LTD’s address is Dongsheng Village Committee 10, Dongguan Town, Shuangcheng District, Harbin, China. Jicheng Yang, as the director identified in the Selling Shareholder Questionnaire, exercises voting and dispositive power over the Ordinary Shares held by BIOSOURCE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Represents 1,220,000 Ordinary Shares issued in connection with the Subscription Agreement. VISIONARY CONSULTING LTD’s address is 8-2-1702, Courtyard Xiyuan, No. 7 Luneng, Shunxing Street, Shuangfeng Street, Shunyi District, Beijing, China. Yu Tan, as the director identified in the Selling Shareholder Questionnaire, exercises voting and dispositive power over the Ordinary Shares held by VISIONARY CONSULTING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Represents 1,280,000 Ordinary Shares issued in connection with the Subscription Agreement. PRIMEGOODS E-COMMERCE LTD’s address is 2-6-502, Electric Power Mingyuan Community, Harmony Road, Limin Development Zone, Hulan District, Harbin, China. Donghui Liu, as the director identified in the Selling Shareholder Questionnaire, exercises voting and dispositive power over the Ordinary Shares held by PRIMEGOODS E-COMMERCE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Represents 1,210,000 Ordinary Shares issued in connection with the Subscription Agreement. STELLAR WAYFARER JOURNEYS LTD’s address is Room 306, Building 6, Xingyue International, Majuqiao, Tongzhou, Beijing, China. Shuxiang Zang, as the director identified in the Selling Shareholder Questionnaire, exercises voting and dispositive power over the Ordinary Shares held by STELLAR WAYFARER JOURNEYS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Represents 1,290,000 Ordinary Shares issued in connection with the Subscription Agreement. CLEVERAI LTD’s address is Unit 3, Building 19, South District, Chaobairenjia Community, Yanjiao, Langfang, China. Wei Liu, as the director identified in the Selling Shareholder Questionnaire, exercises voting and dispositive power over the Ordinary Shares held by CLEVERAI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Represents 1,230,000 Ordinary Shares issued in connection with the Subscription Agreement. ZENITHPOINT CONSULTING LTD’s address is 2470 S Dairy Ashford Road, Unit 480, Houston, Texas 77077. Hongli Yang, as the director identified in the Selling Shareholder Questionnaire, exercises voting and dispositive power over the Ordinary Shares held by ZENITHPOINT CONSULTING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Represents 1,160,018 Ordinary Shares issued in connection with the Subscription Agreement. SMARTMOTION LTD’s address is 15-4-401, Liuzhuang New Village, Tongzhou District, Beijing, China. Yazhou Liu, as the director identified in the Selling Shareholder Questionnaire, exercises voting and dispositive power over the Ordinary Shares held by SMARTMOTION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Represents 1,270,000 Ordinary Shares issued in connection with the Subscription Agreement. COSMOTRADE LTD’s address is Ertun Village, Niujia Manchu Town, Wuchang, China. Yanqiu Guan, as the director identified in the Selling Shareholder Questionnaire, exercises voting and dispositive power over the Ordinary Shares held by COSMOTRADE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Represents 59,991 Ordinary Shares issued in connection with the Subscription Agreement. WIINEX TECHNOLOGY LIMITED’s address is Flat B5, 1/F, Manning Industrial Building, 116-118 How Ming Street, Kwun Tong, Kowloon, Hong Kong. Bin Li, as the director identified in the Selling Shareholder Questionnaire, exercises voting and dispositive power over the Ordinary Shares held by WIINEX TECHNOLOGY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Represents 59,991 Ordinary Shares issued in connection with the Subscription Agreement. Lei Xudan’s address is 19-1-815, Sijiyuecheng, Pearl River, Tongzhou District, Beijing, China. Lei Xudan exercises voting and dispositive power over the Ordinary Shares held directly by Lei Xudan.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Represents 1,200,000 Ordinary Shares issued in connection with the Subscription Agreement. PUBLIC WELFARE HAPPINESS technology LTD’s address is Intershore Chambers, Road Town, Tortola, British Virgin Islands. Ziyan Chen, as the director identified in the Selling Shareholder Questionnaire, exercises voting and dispositive power over the Ordinary Shares held by PUBLIC WELFARE HAPPINESS technology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Relationships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their acquisition of Ordinary Shares under the Subscription Agreement and the registration rights granted thereunder, none of the Selling Shareholders has had any material relationship with us or any of our predecessors or affiliates during the past three years, based on the questionnaires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of the prospectus, the term “Selling Shareholders” means and includes: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82"/>
        <w:gridCol w:w="9968"/>
      </w:tblGrid>
      <w:tr>
        <w:trPr/>
        <w:tc>
          <w:tcPr>
            <w:tcW w:w="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Symbol" w:hAnsi="Symbol"/>
              </w:rPr>
            </w:pPr>
            <w:r>
              <w:rPr>
                <w:rFonts w:ascii="Symbol" w:hAnsi="Symbol"/>
              </w:rPr>
              <w:t>·</w:t>
            </w:r>
          </w:p>
        </w:tc>
        <w:tc>
          <w:tcPr>
            <w:tcW w:w="9968" w:type="dxa"/>
            <w:tcBorders/>
            <w:vAlign w:val="center"/>
          </w:tcPr>
          <w:p>
            <w:pPr>
              <w:pStyle w:val="TableContents"/>
              <w:bidi w:val="0"/>
              <w:spacing w:before="0" w:after="283"/>
              <w:jc w:val="both"/>
              <w:rPr/>
            </w:pPr>
            <w:r>
              <w:rPr/>
              <w:t>the persons identified in the table above as the Selling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to the extent permitted under applicable law, any donees, pledgees, distributees, transferees, assignees or other successors-in-interest of such persons who receive any of the Ordinary Shares covered by this prospectus after the date hereof and are identified, if required, in a prospectus supplement or post-effective amendment.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from time to time, sell all, some or none of the Ordinary Shares covered by this prospectus. We cannot predict when or in what amounts the Selling Shareholders may sell the Ordinary Shares, and the registration of the Ordinary Shares does not necessarily mean that any of them will be offered or sold. The Selling Shareholders will act independently of us in making decisions regarding the timing, manner and size of any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of their permitted pledgees, assignees, donees, transferees or successors-in-interest may sell the Ordinary Shares covered by this prospectus on the Nasdaq Capital Market, on any other securities exchange, quotation service or trading market on which the Ordinary Shares may be listed or traded, in the over-the-counter market, in privately negotiated transactions or otherwise. Sales may be made at fixed prices, prevailing market prices, prices related to prevailing market prices, varying prices determined at the time of sale, negotiated prices or any other price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sell the Ordinary Shares covered by this prospectus in one or more transactions,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the Nasdaq Capital Market or any other national securities exchange, market or trading facility on which the Ordinary Shares are then listed or quoted;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both"/>
              <w:rPr/>
            </w:pPr>
            <w:r>
              <w:rPr/>
              <w:t>in ordinary brokerage transactions and transactions in which a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block trades in which a broker-dealer may attempt to sell the Ordinary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1"/>
        <w:gridCol w:w="10035"/>
      </w:tblGrid>
      <w:tr>
        <w:trPr/>
        <w:tc>
          <w:tcPr>
            <w:tcW w:w="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5" w:type="dxa"/>
            <w:tcBorders/>
            <w:vAlign w:val="center"/>
          </w:tcPr>
          <w:p>
            <w:pPr>
              <w:pStyle w:val="TableContents"/>
              <w:bidi w:val="0"/>
              <w:spacing w:before="0" w:after="283"/>
              <w:jc w:val="both"/>
              <w:rPr/>
            </w:pPr>
            <w:r>
              <w:rPr/>
              <w:t>through purchases by a broker-dealer as principal and resale by the broker-dealer for its own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362"/>
        <w:gridCol w:w="9734"/>
      </w:tblGrid>
      <w:tr>
        <w:trPr/>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rFonts w:ascii="Symbol" w:hAnsi="Symbol"/>
              </w:rPr>
            </w:pPr>
            <w:r>
              <w:rPr>
                <w:rFonts w:ascii="Symbol" w:hAnsi="Symbol"/>
              </w:rPr>
              <w:t>·</w:t>
            </w:r>
          </w:p>
        </w:tc>
        <w:tc>
          <w:tcPr>
            <w:tcW w:w="9734" w:type="dxa"/>
            <w:tcBorders/>
            <w:vAlign w:val="center"/>
          </w:tcPr>
          <w:p>
            <w:pPr>
              <w:pStyle w:val="TableContents"/>
              <w:bidi w:val="0"/>
              <w:spacing w:before="0" w:after="283"/>
              <w:jc w:val="both"/>
              <w:rPr/>
            </w:pPr>
            <w:r>
              <w:rPr/>
              <w:t>in 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through the distribution of Ordinary Shares by a Selling Shareholder to its partners, members, shareholders or other equity holders, to the extent permitted under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22"/>
        <w:gridCol w:w="9916"/>
      </w:tblGrid>
      <w:tr>
        <w:trPr/>
        <w:tc>
          <w:tcPr>
            <w:tcW w:w="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Symbol" w:hAnsi="Symbol"/>
              </w:rPr>
            </w:pPr>
            <w:r>
              <w:rPr>
                <w:rFonts w:ascii="Symbol" w:hAnsi="Symbol"/>
              </w:rPr>
              <w:t>·</w:t>
            </w:r>
          </w:p>
        </w:tc>
        <w:tc>
          <w:tcPr>
            <w:tcW w:w="9916" w:type="dxa"/>
            <w:tcBorders/>
            <w:vAlign w:val="center"/>
          </w:tcPr>
          <w:p>
            <w:pPr>
              <w:pStyle w:val="TableContents"/>
              <w:bidi w:val="0"/>
              <w:spacing w:before="0" w:after="283"/>
              <w:jc w:val="both"/>
              <w:rPr/>
            </w:pPr>
            <w:r>
              <w:rPr/>
              <w:t>through a combination of any of the foregoing methods;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261"/>
        <w:gridCol w:w="9865"/>
      </w:tblGrid>
      <w:tr>
        <w:trPr/>
        <w:tc>
          <w:tcPr>
            <w:tcW w:w="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Symbol" w:hAnsi="Symbol"/>
              </w:rPr>
            </w:pPr>
            <w:r>
              <w:rPr>
                <w:rFonts w:ascii="Symbol" w:hAnsi="Symbol"/>
              </w:rPr>
              <w:t>·</w:t>
            </w:r>
          </w:p>
        </w:tc>
        <w:tc>
          <w:tcPr>
            <w:tcW w:w="9865" w:type="dxa"/>
            <w:tcBorders/>
            <w:vAlign w:val="center"/>
          </w:tcPr>
          <w:p>
            <w:pPr>
              <w:pStyle w:val="TableContents"/>
              <w:bidi w:val="0"/>
              <w:spacing w:before="0" w:after="283"/>
              <w:jc w:val="both"/>
              <w:rPr/>
            </w:pPr>
            <w:r>
              <w:rPr/>
              <w:t>by any other method permitted by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enter into arrangements with broker-dealers or agents in connection with the sale of the Ordinary Shares. Broker-dealers or agents participating in the distribution may receive commissions, discounts or concessions from the Selling Shareholders or from purchasers of the Ordinary Shares for whom they may act as agent. Any such commissions, discounts or concessions will be negotiated between the applicable Selling Shareholder and the applicable broker-dealer or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broker-dealers or agents that participate in the distribution of the Ordinary Shares may be deemed to be “underwriters” within the meaning of Section 2(a)(11) of the Securities Act. In such event, any commissions received by such broker-dealers or agents and any profits realized by them on the resale of the Ordinary Shares purchased by them may be deemed to be underwriting commissions or discounts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Ordinary Shares to be sold, the name of the applicable Selling Shareholder, the names of any participating broker-dealers or agents, the terms of the sale, the applicable sale price and any commissions, discounts or other compensation will be set forth in a prospectus supplement or, if required, a post-effective amendment to the registration statement of which this prospectus forms a part. We may amend or supplement this prospectus from time to time to describe a specific plan of distribution or as otherwise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other persons participating in the distribution of the Ordinary Shares will be subject to applicable provisions of the Exchange Act and the rules and regulations thereunder, including Regulation M, which may limit the timing of purchases and sales of the Ordinary Shares by the Selling Shareholders and other participating persons. Regulation M may also restrict the ability of any person engaged in the distribution of the Ordinary Shares to engage in market-making activities with respect to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Ordinary Shares covered by this prospectus were originally issued in reliance on Regulation S under the Securities Act, any offer or sale of such Ordinary Shares must be made pursuant to an effective registration statement under the Securities Act, in compliance with Regulation S or pursuant to another available exemption from registration. Any hedging transaction involving such Ordinary Shares must be conducted 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participating in the distribution may be required to deliver a copy of this prospectus, as supplemented or amended, to purchasers of the Ordinary Shares in accordance with the Securities Act. Sales of the Ordinary Shares may also be subject to applicable state securities or “blue 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suspend the use of this prospectus if it contains a material misstatement or omission, if required in order to amend or supplement the information contained herein, or if otherwise required by applicable law. Upon receiving notice from us of any such suspension, the Selling Shareholders may not use this prospectus until they receive notice from us that use of the prospectus may be resumed.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Ordinary Shares by the Selling Shareholders. The Selling Shareholders will receive all of the net proceeds from their respective sales of the Ordinary Shares. We will bear the expenses incurred in connection with the registration of the Ordinary Shares, including the SEC registration fee and certain legal, accounting and other expenses. The Selling Shareholders will bear any brokerage commissions, underwriting discounts, selling commissions, transfer taxes and similar expenses attributable to their respective sales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l_001"/>
      <w:bookmarkEnd w:id="13"/>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under “Item 8. Financial Information—A. Consolidated Statements and Other Financial Information—Legal Proceedings” in our Annual Report on Form 20-F for the year ended December 31, 2025, which is incorporated by reference herein, is supplemented and updated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Kaikeba Technology Co., Ltd., et 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Haidian District People’s Court of Beijing accepted a breach of contract action brought by Beijing Baosheng Network Co., Ltd. (“Beijing Baosheng”), our PRC subsidiary, against Beijing Kaikeba Technology Co., Ltd., Huike Education Technology Group Co., Ltd., Hangzhou Kaikeba Technology Co., Ltd. and Fang Yechang. Beijing Baosheng has recovered an aggregate amount of RMB36,281,421.17 (approximately US$5.35 million) in connection with this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Fang Yechang and Spouse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Shijingshan District People’s Court of Beijing accepted a contract action brought by Beijing Baosheng against Fang Yechang and his spouse. The parties subsequently entered into a civil mediation arrangement pursuant to which the defendants were required to pay Beijing Baosheng RMB2,197,472.35 (approximately US$0.33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Tianjin Hongen Perfect Future Education Technology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Beijing Baosheng submitted an arbitration application to the Beijing Arbitration Commission against Tianjin Hongen Perfect Future Education Technology Co., Ltd. (“Perfect Future”) seeking repayment of advertising fees of RMB159,110.54 and related damages, and refiled its arbitration request in July 2024. The Beijing Arbitration Commission accepted the arbitration in August 2024, and a hearing was held in December 2024. In March 2025, the Beijing Arbitration Commission issued an award requiring Perfect Future to repay RMB119,332.96 in advertising fees and related liquidated damages. Perfect Future made payment on March 28, 2025, and Beijing Baosheng recovered an aggregate amount of RMB144,077.24. The matter has been concluded.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Beijing Fourth Intermediate People’s Court accepted a damages action brought by three institutional investors against a director of the Company and four other defendants. The plaintiffs allege corporate governance misconduct by the defendants and seek aggregate damages of RMB47,249,848 (approximately US$6.59 million). The Beijing Fourth Intermediate People’s Court subsequently separated the action into three cases and transferred them to the Shijingshan District People’s Court of Beijing. The three cases are currently pending before the Shijingshan District People’s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Arbitration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Beijing Shijingshan District Labor and Personnel Dispute Arbitration Commission accepted a labor arbitration proceeding brought by Mi Shasha against Beijing Baosheng. A hearing was held on August 28, 2026. As of the date of this prospectus, no arbitral award has been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1"/>
      <w:bookmarkEnd w:id="14"/>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material terms of our share capital under our amended and restated memorandum and articles of association, adopted by a special resolution on July 20, 2020 and effective on February 10, 2021 (the “Memorandum and Articles”), and the Companies Act (As Revised) of the Cayman Islands. This summary does not purport to be complete and is qualified in its entirety by the Memorandum and Articles and applicable Cayman Islands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US$9,600,000 divided into 1,000,000,000 Ordinary Shares of a par value of US$0.0096 each. The increase from US$60,000 divided into 6,250,000 Ordinary Shares to the current authorized share capital was approved by our shareholders on September 28, 2023 and became effective immediately. As of August 24, 2026, 33,369,815 Ordinary Shares were issued and outstanding, of which 26,842,501 were identified as restricted and 6,527,314 as non-restricted in the certified shareholder list furnished by our transfer agent. All 25,000,000 Ordinary Shares covered by this prospectus were recorded as issued on June 8, 2026 and are included in that outstanding-share figure.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Ordinary Shares are fully paid and non-assessable. Subject to any special rights or restrictions attached to a class of shares, each holder of an Ordinary Share is entitled, on a show of hands, to one vote when present in person or by proxy at a general meeting and, on a poll, to one vote for each Ordinary Share held. Holders do not have cumulative voting rights under the Memorandum and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and restrictions attached to any shares under and in accordance with the Articles and the requirements of Cayman Islands law:</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both"/>
              <w:rPr/>
            </w:pPr>
            <w:r>
              <w:rPr/>
              <w:t>our board of directors may declare dividends, including interim dividends, and other distributions on issued shares and authorize payment from funds lawfully available for that purpose;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231"/>
        <w:gridCol w:w="9894"/>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may, by ordinary resolution, declare dividends but no such dividend shall exceed the amount recommended by the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Cayman Islands law regarding the application of a company’s share premium account and with the sanction of an ordinary resolution, dividends may also be declared and paid out of the funds of our company lawfully available therefor. The directors when paying dividends to shareholders may make such payment either in cash or in specie.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by the rights attached to a share, no dividend shall bear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and the assets available for distribution the shareholders are more than sufficient to repay the whole of the share capital at the commencement of the winding up, the surplus will be distributed among the shareholders in proportion to the par value of the shares held by them at the commencement of the winding up subject to a deduction from those shares in respect of which there are monies due, of all monies payable to our company for unpaid calls or otherwise. If in a winding up, the assets available for distribution amongst the shareholders shall be insufficient to repay the whole of the share capital, such assets shall be distributed so that, as nearly as may be, the losses shall be borne by the shareholders in proportion to the par value of the shares held by them. If we are wound up the liquidator may, with the sanction of a special resolution and any other sanction required by the Cayman Islands law, divide amongst the shareholders in species or in kind the whole or any part of the assets of our company (whether they shall consist of property of the same kind or not) and may for that purpose value any assets and determine how the division shall be carried out as between the shareholders or different classes of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Shares and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Memorandum and Articles, Cayman Islands law and applicable Nasdaq rules, our board of directors has broad authority to issue, allot and dispose of unissued shares on such terms as it determines. The board may divide shares into classes and may issue preferred shares in one or more series with voting, dividend, conversion, redemption, liquidation and other rights that may be superior to those of the Ordinary Shares, generally without further shareholder approval. We may not issue shares to bearer.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Class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the rights attaching to any class of share (unless otherwise provided by the terms of issue of the shares of that class) may be varied with the consent in writing of all of the holders of the issued shares of that class or with the sanction of a special resolution passed at a separate meeting of the holders of the shares of that class.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shareholder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existing shares of that class or subsequent to them or the redemption or purchase of any shares of any class by our company. The rights conferred upon the holders of the shares of any class issued shall not be deemed to be varied by the creation or issue of shares with preferred or other rights including, without limitation, the creation of shares with enhanced or weighted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a transfer of Ordinary Shares complies with applicable rules of Nasdaq, a shareholder may transfer Ordinary Shares to another person by completing an instrument of transfer in a common form or in a form prescribed by Nasdaq or in any other form approved by the directors, executed: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where the Ordinary Shares are fully paid, by or on behalf of that shareholder;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where the Ordinary Shares are partly paid, by or on behalf of that shareholder and the transferee.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an Ordinary Share until the name of the transferee is entered into the register of members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in question are not listed on or subject to the rules of Nasdaq, our board of directors may, in its absolute discretion, decline to register any transfer of any Ordinary Share that has not been fully paid up or is subject to a company lien. Our board of directors may also decline to register any transfer of such Ordinary Share unless: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instrument of transfer is lodged with us, accompanied by the certificate for the Ordinary Shares to which it relates and such other evidence as our board of directors may reasonably require to show the right of the transferor to make the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instrument of transfer is in respect of only one class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instrument of transfer is properly stamped, if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case of a transfer to joint holders, the number of joint holders to whom the Ordinary Shares are to be transferred does not exceed four;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fee of such maximum sum as Nasdaq may determine to be payable, or such lesser sum as the directors may from time to time require, is paid to the Company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are required, within two months after the date on which the instrument of transfer was lodged, to send to each of the transferor and the transferee notice of such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prior notice being given in compliance with the applicable rules of Nasdaq, be suspended and our register of members closed at such times and for such periods as our board of directors may from time to time determine. The registration of transfers, however, may not be suspended, and the register of members may not be closed, for more than 30 calendar days in any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Islands law and any rights for the time being conferred on the shareholders holding a particular class of shares, we may by action of our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issue shares that are to be redeemed or liable to be redeemed, at our option or the shareholder holding those redeemable shares, on the terms and in the manner our directors determine before the issue of those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purchase all or any of our own shares of any class including any redeemable shares on the terms and in the manner which the directors determine at the time of such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payment in respect of the redemption or purchase of its own shares in any manner authorized by the Cayman Islands law, including out of any combination of capital, our profits and the proceeds of a fresh issue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to Capital and Constitutional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Cayman Islands law, shareholders may by ordinary resolution increase, consolidate, subdivide or cancel authorized share capital as provided in the Memorandum and Articles, and may by special resolution reduce share capital or amend the Memorandum and Articles. The board may take actions authorized by the Memorandum and Articles in connection with fractional shares and related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Preemptive Rights; Calls and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do not provide holders of Ordinary Shares with general preemptive or subscription rights. Subject to the terms of allotment, the directors may make calls on the shareholders in respect of any monies unpaid on their shares including any premium and each shareholder shall (subject to receiving at least 14 calendar days’ notice specifying when and where payment is to be made), pay to us the amount called on his shares.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ten percent per annum. The directors may, at their discretion, waive payment of the interest wholly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first and paramount lien on all shares (whether fully paid up or not) registered in the name of a shareholder (whether solely or jointly with others). The lien is for all monies payable to us by the shareholder or the shareholder’s estate: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 alone or jointly with any other person, whether or not that other person is a shareholder;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whether or not those monies are presently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directors may declare any share to be wholly or partly exempt from the lien on shares provisions of the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in such manner as the directors may determine, any share on which the sum in respect of which the lien exists is presently payable, if due notice that such sum is payable has been given (as prescribed by the articles) and, within 14 calendar days of the date or other longer period as specified in the notice on which the notice is deemed to be given under the articles, such notice has not been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 and Share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shares is evidenced by entry in our register of members. A person whose name is entered in the register may request a share certificate in the form determined by the board, subject to the Memorandum and Articles. Our transfer agent’s certified shareholder list was effective August 24, 2026 and reports 28 registered holders and 33,369,815 Ordinary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shd w:fill="FFFFFF" w:val="clear"/>
        </w:rPr>
        <w:t>For a more detailed description of our Ordinary Shares and warrants, including the rights and obligations attached thereto, as well as our equity incentive plans, please refer to </w:t>
      </w:r>
      <w:hyperlink r:id="rId8">
        <w:r>
          <w:rPr>
            <w:rStyle w:val="InternetLink"/>
            <w:rFonts w:ascii="Times New Roman;Times;Serif" w:hAnsi="Times New Roman;Times;Serif"/>
            <w:b w:val="false"/>
            <w:i w:val="false"/>
            <w:caps w:val="false"/>
            <w:smallCaps w:val="false"/>
            <w:sz w:val="20"/>
          </w:rPr>
          <w:t>Exhibit 2.3</w:t>
        </w:r>
      </w:hyperlink>
      <w:r>
        <w:rPr>
          <w:rFonts w:ascii="Times New Roman;Times;Serif" w:hAnsi="Times New Roman;Times;Serif"/>
          <w:b w:val="false"/>
          <w:i w:val="false"/>
          <w:caps w:val="false"/>
          <w:smallCaps w:val="false"/>
          <w:sz w:val="20"/>
        </w:rPr>
        <w:t> to our Annual Report on Form 20-F for the year ended December 31, 2025, which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Cayman Islands, PRC and U.S. federal income tax considerations relating to the ownership and disposition of our Ordinary Shares are described under Item 10.E, “Additional Information—Taxation,” in our Annual Report on Form 20-F for the year ended December 31, 2025, which is incorporated by reference herein. The discussion is general in nature and does not address all tax consequences that may be applicable to a particular investor. Prospective investors should consult their own tax advisers regarding the tax consequences of an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tax-related disclosure updated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Enterprise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Implementing Regulations of the Enterprise Income Tax Law of the People’s Republic of China were most recently amended on December 6, 2024, and the amended regulations became effective on January 20, 2025. Under the Enterprise Income Tax Law of the People’s Republic of China and its implementing regulations, a non-resident enterprise that has established an institution or place of business in the PRC is generally subject to PRC enterprise income tax at a rate of 25% on income derived from sources within the PRC and on income derived from sources outside the PRC that is effectively connected with such institution or place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Baosheng and its PRC subsidiaries are PRC resident enterprises and are generally subject to enterprise income tax at a rate of 25%. Pursuant to Announcement No. 12 of 2023 issued by the Ministry of Finance and the State Taxation Administration, qualifying small and micro-profit enterprises operating in industries not restricted or prohibited by the PRC government, with annual taxable income not exceeding RMB3 million, no more than 300 employees and total assets not exceeding RMB50 million, may be eligible for preferential enterprise income tax treatment from January 1, 2023 through December 31, 2027. Under such preferential treatment, 25% of taxable income is subject to enterprise income tax at a rate of 20%, resulting in an effective enterprise income tax rate of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Value-Added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Value-Added Tax Law of the People’s Republic of China and its implementing regulations became effective on January 1, 2026 and replaced the prior interim value-added tax regulations. Under the current VAT regime, entities and individuals engaged in the sale of goods, services, intangible assets or real property, or the importation of goods, within the PRC are generally subject to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VAT rates are 13% for certain sales of goods, processing, repair and maintenance services, tangible movable property leasing services and imported goods; 9% for certain transportation, postal, basic telecommunications, construction and real property-related activities; and 6% for other services and sales of intangible assets. Exports of goods and qualifying cross-border sales of services and intangible assets may be subject to a zero VAT rate. Small-scale taxpayers may be subject to a simplified collection method at a 3% collection rate, subject to applicable preferential policies. As of the date of this prospectus, Beijing Baosheng and its consolidated affiliated entities generally apply a 6% VAT rate as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Withholding Tax on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Article 10 of the Arrangement between the Mainland of China and the Hong Kong Special Administrative Region for the Avoidance of Double Taxation and the Prevention of Fiscal Evasion with respect to Taxes on Income, if the beneficial owner of dividends is a Hong Kong resident enterprise that directly holds at least 25% of the equity interest in the PRC enterprise paying the dividends, the applicable PRC withholding income tax rate on such dividends may be reduced to 5%; otherwise, the applicable rate is generally 10%, subject to the satisfaction of applicable treaty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taxpayer seeking to claim treaty benefits is required to comply with the Measures for Non-Resident Taxpayers to Enjoy Treaty Benefits (State Taxation Administration Announcement No. 35 of 2019), including applicable self-assessment, filing and record-retention requirements, and must satisfy the applicable “beneficial owner” requirements under the Announcement of the State Taxation Administration on Issues Concerning “Beneficial Owner” in Tax Treaties (State Taxation Administration Announcement No. 9 of 2018). Even if a taxpayer otherwise qualifies as a beneficial owner, the competent PRC tax authority may apply applicable general anti-avoidance rules or principal purpose test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this prospectus or in the reports incorporated by reference herein, no material changes in our affairs have occurred since December 31, 2025 that have not otherwise been disclosed in this prospectus or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Ordinary Shares and certain matters of Cayman Islands law will be passed upon for us by Appleby. Certain matters of U.S. federal securities law will be passed upon for us by iTKG Law LLC. Certain matters of PRC law will be passed upon for us by Anli Partners. The opinion of Anli Partners with respect to such matters is filed as Exhibit 8.1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consolidated financial statements incorporated by reference from our </w:t>
      </w:r>
      <w:hyperlink r:id="rId9">
        <w:r>
          <w:rPr>
            <w:rStyle w:val="InternetLink"/>
            <w:rFonts w:ascii="Times New Roman;Times;Serif" w:hAnsi="Times New Roman;Times;Serif"/>
            <w:b w:val="false"/>
            <w:i w:val="false"/>
            <w:caps w:val="false"/>
            <w:smallCaps w:val="false"/>
            <w:sz w:val="20"/>
          </w:rPr>
          <w:t>annual report on Form 20-F for the year ended December 31, 2025</w:t>
        </w:r>
      </w:hyperlink>
      <w:r>
        <w:rPr>
          <w:rFonts w:ascii="Times New Roman;Times;Serif" w:hAnsi="Times New Roman;Times;Serif"/>
          <w:b w:val="false"/>
          <w:i w:val="false"/>
          <w:caps w:val="false"/>
          <w:smallCaps w:val="false"/>
          <w:sz w:val="20"/>
        </w:rPr>
        <w:t xml:space="preserve"> have been audited by GGF CPA LTD, with respect to the consolidated balance sheet as of December 31, 2025 and the related consolidated statements for the year then ended, and by YCM CPA INC., with respect to the consolidated balance sheet as of December 31, 2024 and the related consolidated statements for the years ended December 31, 2024 and 2023, as stated in their respective reports included therein. Such consolidated financial statements are incorporated by reference herein in reliance upon such reports given on the authority of such firms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Cayman Islands law and substantially all of our assets are located outside the United States. All of our directors and executive officers reside outside the United States. It may therefore be difficult for investors to effect service of process within the United States or to enforce judgments of U.S. courts based on civil-liability provisions of U.S. federal securities laws. See the corresponding disclosure in our annual report on Form 20-F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Appleby, our counsel with respect to the laws of the Cayman Islands, has advised us that there is uncertainty as to whether the courts of the Cayman Islands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Appleby has further advised us that there is no statutory enforcement in the Cayman Islands of judgments obtained in the United States, although the courts of the Cayman Islands will recognize and enforce a foreign money judgment of a foreign court of competent jurisdiction, without retrial on of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 Appleby has informed us that there is uncertainty with regard to Cayman Islands law relating to whether a judgment obtained from the U.S. courts under civil liability provisions of the securities laws will be determined by the courts of the Cayman Islands as penal or punitive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7"/>
      <w:bookmarkEnd w:id="19"/>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or furnish to it, which means that we can disclose important information to you by referring you to those documents. The information incorporated by reference is an important part of this prospectus. Information that we file or furnish later and incorporate by reference will automatically update and supersede information contained in this prospectus and information previously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the following documents: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hyperlink r:id="rId10">
              <w:r>
                <w:rPr>
                  <w:rStyle w:val="InternetLink"/>
                </w:rPr>
                <w:t>our annual report on Form 20-F for the fiscal year ended December 31, 2025, filed with the SEC on April 30,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our report on Form 6-K furnished to the SEC on </w:t>
            </w:r>
            <w:hyperlink r:id="rId11">
              <w:r>
                <w:rPr>
                  <w:rStyle w:val="InternetLink"/>
                </w:rPr>
                <w:t>May 18, 2026</w:t>
              </w:r>
            </w:hyperlink>
            <w:r>
              <w:rPr/>
              <w:t xml:space="preserve">; </w:t>
            </w:r>
            <w:hyperlink r:id="rId12">
              <w:r>
                <w:rPr>
                  <w:rStyle w:val="InternetLink"/>
                </w:rPr>
                <w:t>June 4, 2026</w:t>
              </w:r>
            </w:hyperlink>
            <w:r>
              <w:rPr/>
              <w:t xml:space="preserve">; </w:t>
            </w:r>
            <w:hyperlink r:id="rId13">
              <w:r>
                <w:rPr>
                  <w:rStyle w:val="InternetLink"/>
                </w:rPr>
                <w:t>June 10, 2026</w:t>
              </w:r>
            </w:hyperlink>
            <w:r>
              <w:rPr/>
              <w:t xml:space="preserve">; </w:t>
            </w:r>
            <w:hyperlink r:id="rId14">
              <w:r>
                <w:rPr>
                  <w:rStyle w:val="InternetLink"/>
                </w:rPr>
                <w:t>July 9, 2026</w:t>
              </w:r>
            </w:hyperlink>
            <w:r>
              <w:rPr/>
              <w:t xml:space="preserve">; </w:t>
            </w:r>
            <w:hyperlink r:id="rId15">
              <w:r>
                <w:rPr>
                  <w:rStyle w:val="InternetLink"/>
                </w:rPr>
                <w:t>July 13, 2026</w:t>
              </w:r>
            </w:hyperlink>
            <w:r>
              <w:rPr/>
              <w:t xml:space="preserve">; </w:t>
            </w:r>
            <w:hyperlink r:id="rId16">
              <w:r>
                <w:rPr>
                  <w:rStyle w:val="InternetLink"/>
                </w:rPr>
                <w:t>July 17, 2026</w:t>
              </w:r>
            </w:hyperlink>
            <w:r>
              <w:rPr/>
              <w:t xml:space="preserve">; </w:t>
            </w:r>
            <w:hyperlink r:id="rId17">
              <w:r>
                <w:rPr>
                  <w:rStyle w:val="InternetLink"/>
                </w:rPr>
                <w:t>August 11, 2026</w:t>
              </w:r>
            </w:hyperlink>
            <w:r>
              <w:rPr/>
              <w:t xml:space="preserve">; </w:t>
            </w:r>
            <w:hyperlink r:id="rId18">
              <w:r>
                <w:rPr>
                  <w:rStyle w:val="InternetLink"/>
                </w:rPr>
                <w:t>August 18, 2026</w:t>
              </w:r>
            </w:hyperlink>
            <w:r>
              <w:rPr/>
              <w:t xml:space="preserve">; </w:t>
            </w:r>
            <w:hyperlink r:id="rId19">
              <w:r>
                <w:rPr>
                  <w:rStyle w:val="InternetLink"/>
                </w:rPr>
                <w:t>August 20, 2026</w:t>
              </w:r>
            </w:hyperlink>
            <w:r>
              <w:rPr/>
              <w:t xml:space="preserve">; </w:t>
            </w:r>
            <w:hyperlink r:id="rId20">
              <w:r>
                <w:rPr>
                  <w:rStyle w:val="InternetLink"/>
                </w:rPr>
                <w:t>August 25, 2026</w:t>
              </w:r>
            </w:hyperlink>
            <w:r>
              <w:rPr/>
              <w:t xml:space="preserve">; </w:t>
            </w:r>
            <w:hyperlink r:id="rId21">
              <w:r>
                <w:rPr>
                  <w:rStyle w:val="InternetLink"/>
                </w:rPr>
                <w:t>August 27, 2026</w:t>
              </w:r>
            </w:hyperlink>
            <w:r>
              <w:rPr/>
              <w:t xml:space="preserve">; </w:t>
            </w:r>
            <w:hyperlink r:id="rId22">
              <w:r>
                <w:rPr>
                  <w:rStyle w:val="InternetLink"/>
                </w:rPr>
                <w:t>September 2, 2026</w:t>
              </w:r>
            </w:hyperlink>
            <w:r>
              <w:rPr/>
              <w:t xml:space="preserve"> (Accession No. 0001104659-26-104754), and </w:t>
            </w:r>
            <w:hyperlink r:id="rId23">
              <w:r>
                <w:rPr>
                  <w:rStyle w:val="InternetLink"/>
                </w:rPr>
                <w:t>September 2, 2026</w:t>
              </w:r>
            </w:hyperlink>
            <w:r>
              <w:rPr/>
              <w:t xml:space="preserve"> (Accession No. 0001104659-26-104779);</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the description of our Ordinary Shares contained in our registration statement on </w:t>
            </w:r>
            <w:hyperlink r:id="rId24">
              <w:r>
                <w:rPr>
                  <w:rStyle w:val="InternetLink"/>
                </w:rPr>
                <w:t>Form 8-A filed under Section 12(b) of the Exchange Act, filed with the SEC on February 1, 2021</w:t>
              </w:r>
            </w:hyperlink>
            <w:r>
              <w:rPr/>
              <w:t xml:space="preserve">, as updated by the description of our Ordinary Shares contained in </w:t>
            </w:r>
            <w:hyperlink r:id="rId25">
              <w:r>
                <w:rPr>
                  <w:rStyle w:val="InternetLink"/>
                </w:rPr>
                <w:t>Exhibit 2.3</w:t>
              </w:r>
            </w:hyperlink>
            <w:r>
              <w:rPr/>
              <w:t xml:space="preserve"> to our Annual Report on Form 20-F for the fiscal year ended December 31, 2025, filed with the SEC on April 30, 2026, including any amendments or reports filed for the purpose of further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future annual reports on Form 20-F filed with the SEC after the date of this prospectus and prior to the termination of the offering of the securities offered by this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future reports of foreign private issuer on Form 6-K that we furnish to the SEC after the date of this prospectus that are identified in such reports as being incorporated by reference into the registration statement of which this prospectus forms a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PRC legal matters described in our Annual Report on Form 20-F for the year ended December 31, 2025 were based on the advice and opinions of Beijing Dacheng Law Offices, LLP, our former PRC counsel. Anli Partners currently serves as our PRC counsel and, in connection with this registration statement, has independently reviewed and rendered its opinions with respect to the corresponding PRC legal matters. For purposes of this registration statement and the prospectus forming a part hereof, the opinions and conclusions of Beijing Dacheng Law Offices, LLP with respect to such PRC legal matters contained in our 2025 Annual Report and incorporated by reference herein are superseded and replaced by the opinions and conclusions of Anli Partners set forth in its opinion filed as Exhibit 8.1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Media Group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Floor 5, Building No. 8, Xishanhui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Shijingshan District, Beijing 100041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+86-010-82088021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F-3 under the Securities Act with respect to the Ordinary Shares offered by this prospectus. This prospectus does not contain all information in the registration statement and its exhibits. We are subject to the informational requirements of the Exchange Act applicable to foreign private issuers and file annual reports on Form 20-F and furnish current reports on Form 6-K. The SEC maintains an Internet site at www.sec.gov that contains reports and other information regarding issuers that file electronically with the SEC. Our corporate website is http://ir.bsacme.com/. Information contained on, or accessible through, our website is not incorporated by reference into this prospectus and should not be considered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p_001"/>
      <w:bookmarkEnd w:id="21"/>
      <w:r>
        <w:rPr>
          <w:rFonts w:ascii="Times New Roman;Times;Serif" w:hAnsi="Times New Roman;Times;Serif"/>
          <w:b/>
          <w:i w:val="false"/>
          <w:caps w:val="false"/>
          <w:smallCaps w:val="false"/>
          <w:sz w:val="20"/>
        </w:rPr>
        <w:t>INDEMNIFICATION FOR SECURITIES 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expenses payable by us in connection with this registration. All amounts other than the SEC registration fee are estimates.</w:t>
      </w:r>
    </w:p>
    <w:p>
      <w:pPr>
        <w:pStyle w:val="TextBody"/>
        <w:bidi w:val="0"/>
        <w:spacing w:before="0" w:after="0"/>
        <w:ind w:left="0" w:right="0" w:hanging="0"/>
        <w:jc w:val="left"/>
        <w:rPr/>
      </w:pPr>
      <w:r>
        <w:rPr>
          <w:caps w:val="false"/>
          <w:smallCaps w:val="false"/>
        </w:rPr>
        <w:t> </w:t>
      </w:r>
      <w:r>
        <w:rPr/>
        <w:t xml:space="preserve"> </w:t>
      </w:r>
    </w:p>
    <w:tbl>
      <w:tblPr>
        <w:tblW w:w="3870" w:type="dxa"/>
        <w:jc w:val="left"/>
        <w:tblInd w:w="0" w:type="dxa"/>
        <w:tblLayout w:type="fixed"/>
        <w:tblCellMar>
          <w:top w:w="0" w:type="dxa"/>
          <w:left w:w="0" w:type="dxa"/>
          <w:bottom w:w="0" w:type="dxa"/>
          <w:right w:w="0" w:type="dxa"/>
        </w:tblCellMar>
      </w:tblPr>
      <w:tblGrid>
        <w:gridCol w:w="2525"/>
        <w:gridCol w:w="60"/>
        <w:gridCol w:w="365"/>
        <w:gridCol w:w="845"/>
        <w:gridCol w:w="75"/>
      </w:tblGrid>
      <w:tr>
        <w:trPr/>
        <w:tc>
          <w:tcPr>
            <w:tcW w:w="2525" w:type="dxa"/>
            <w:tcBorders/>
            <w:shd w:fill="CCEEFF" w:val="clear"/>
            <w:vAlign w:val="center"/>
          </w:tcPr>
          <w:p>
            <w:pPr>
              <w:pStyle w:val="TableContents"/>
              <w:bidi w:val="0"/>
              <w:spacing w:before="0" w:after="283"/>
              <w:jc w:val="left"/>
              <w:rPr>
                <w:sz w:val="20"/>
              </w:rPr>
            </w:pPr>
            <w:r>
              <w:rPr>
                <w:sz w:val="20"/>
              </w:rPr>
              <w:t>SEC registration fee</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20"/>
              </w:rPr>
            </w:pPr>
            <w:r>
              <w:rPr>
                <w:sz w:val="20"/>
              </w:rPr>
              <w:t>US$</w:t>
            </w:r>
          </w:p>
        </w:tc>
        <w:tc>
          <w:tcPr>
            <w:tcW w:w="845" w:type="dxa"/>
            <w:tcBorders/>
            <w:shd w:fill="CCEEFF" w:val="clear"/>
            <w:vAlign w:val="center"/>
          </w:tcPr>
          <w:p>
            <w:pPr>
              <w:pStyle w:val="TableContents"/>
              <w:bidi w:val="0"/>
              <w:spacing w:before="0" w:after="283"/>
              <w:jc w:val="right"/>
              <w:rPr>
                <w:sz w:val="20"/>
              </w:rPr>
            </w:pPr>
            <w:r>
              <w:rPr>
                <w:sz w:val="20"/>
              </w:rPr>
              <w:t>973.61</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sz w:val="20"/>
              </w:rPr>
            </w:pPr>
            <w:r>
              <w:rPr>
                <w:sz w:val="20"/>
              </w:rPr>
              <w:t>Legal fees and expenses</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sz w:val="20"/>
              </w:rPr>
            </w:pPr>
            <w:r>
              <w:rPr>
                <w:sz w:val="20"/>
              </w:rPr>
              <w:t>US$</w:t>
            </w:r>
          </w:p>
        </w:tc>
        <w:tc>
          <w:tcPr>
            <w:tcW w:w="845" w:type="dxa"/>
            <w:tcBorders/>
            <w:shd w:fill="FFFFFF" w:val="clear"/>
            <w:vAlign w:val="center"/>
          </w:tcPr>
          <w:p>
            <w:pPr>
              <w:pStyle w:val="TableContents"/>
              <w:bidi w:val="0"/>
              <w:spacing w:before="0" w:after="283"/>
              <w:jc w:val="right"/>
              <w:rPr>
                <w:sz w:val="20"/>
              </w:rPr>
            </w:pPr>
            <w:r>
              <w:rPr>
                <w:sz w:val="20"/>
              </w:rPr>
              <w:t>40,000.00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sz w:val="20"/>
              </w:rPr>
            </w:pPr>
            <w:r>
              <w:rPr>
                <w:sz w:val="20"/>
              </w:rPr>
              <w:t>Accounting fees and expenses</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20"/>
              </w:rPr>
            </w:pPr>
            <w:r>
              <w:rPr>
                <w:sz w:val="20"/>
              </w:rPr>
              <w:t>US$</w:t>
            </w:r>
          </w:p>
        </w:tc>
        <w:tc>
          <w:tcPr>
            <w:tcW w:w="845" w:type="dxa"/>
            <w:tcBorders/>
            <w:shd w:fill="CCEEFF" w:val="clear"/>
            <w:vAlign w:val="center"/>
          </w:tcPr>
          <w:p>
            <w:pPr>
              <w:pStyle w:val="TableContents"/>
              <w:bidi w:val="0"/>
              <w:spacing w:before="0" w:after="283"/>
              <w:jc w:val="right"/>
              <w:rPr>
                <w:sz w:val="20"/>
              </w:rPr>
            </w:pPr>
            <w:r>
              <w:rPr>
                <w:sz w:val="20"/>
              </w:rPr>
              <w:t>16,000.00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sz w:val="20"/>
              </w:rPr>
            </w:pPr>
            <w:r>
              <w:rPr>
                <w:sz w:val="20"/>
              </w:rPr>
              <w:t>Printing and EDGAR expenses</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sz w:val="20"/>
              </w:rPr>
            </w:pPr>
            <w:r>
              <w:rPr>
                <w:sz w:val="20"/>
              </w:rPr>
              <w:t>Miscellaneous expenses</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b/>
                <w:sz w:val="20"/>
              </w:rPr>
            </w:pPr>
            <w:r>
              <w:rPr>
                <w:b/>
                <w:sz w:val="20"/>
              </w:rPr>
              <w:t>Total</w:t>
            </w:r>
          </w:p>
        </w:tc>
        <w:tc>
          <w:tcPr>
            <w:tcW w:w="60" w:type="dxa"/>
            <w:tcBorders/>
            <w:shd w:fill="FFFFFF" w:val="clear"/>
            <w:vAlign w:val="center"/>
          </w:tcPr>
          <w:p>
            <w:pPr>
              <w:pStyle w:val="TableContents"/>
              <w:bidi w:val="0"/>
              <w:spacing w:before="0" w:after="283"/>
              <w:jc w:val="left"/>
              <w:rPr/>
            </w:pPr>
            <w:r>
              <w:rPr/>
              <w:t> </w:t>
            </w:r>
          </w:p>
        </w:tc>
        <w:tc>
          <w:tcPr>
            <w:tcW w:w="36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b/>
                <w:sz w:val="20"/>
              </w:rPr>
            </w:pPr>
            <w:r>
              <w:rPr>
                <w:b/>
                <w:sz w:val="20"/>
              </w:rPr>
              <w:t>US$</w:t>
            </w:r>
          </w:p>
        </w:tc>
        <w:tc>
          <w:tcPr>
            <w:tcW w:w="84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56,973.61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that, to the extent permitted by law, we shall indemnify every director (including any alternate director), secretary, assistant secretary, or other officer for the time being and from time to time (but not including our auditors) and the personal representatives of the same against: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183"/>
        <w:gridCol w:w="9942"/>
      </w:tblGrid>
      <w:tr>
        <w:trPr/>
        <w:tc>
          <w:tcPr>
            <w:tcW w:w="8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actions, proceedings, costs, charges, expenses, losses, damages, or liabilities incurred or sustained by every director (including any alternate director), secretary, assistant secretary, or other officer for the time being and from time to time (but not including our auditors) or the personal representatives of the same in or about the conduct of our business or affairs (including as a result of any mistake of judgment) or in the execution or discharge of his/her duties, powers, authorities or discretions;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199"/>
        <w:gridCol w:w="9926"/>
      </w:tblGrid>
      <w:tr>
        <w:trPr/>
        <w:tc>
          <w:tcPr>
            <w:tcW w:w="8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paragraph (a) above, all costs, expenses, losses, or liabilities incurred by every director (including any alternate director), secretary, assistant secretary, or other officer for the time being and from time to time (but not including our auditors) or the personal representatives of the same in defending (whether successfully or otherwise) any civil proceedings concerning us or our affairs in any court whether in the Cayman Islands or elsewhere.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director (including any alternate director), secretary, assistant secretary, or other officer for the time being and from time to time (but not including our auditors) or the personal representatives of the same, however, shall be indemnified in respect of any matter arising out of his own dishonesty, willful default or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we may make a payment, or agree to make a payment, whether by way of advance, loan or otherwise, for any legal costs incurred by an existing secretary, or any of our officers in respect of any matter identified in above on condition that the secretary, or officer must repay the amount paid by us to the extent that it is ultimately found not liable to indemnify the secretary or that officer for those legal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indemnification agreements, the form of which is filed as Exhibit 10.2 to the Registrant’s Registration Statement on Form F-1 (file No. 333-239800), initially filed with the Commission on July 10, 2020, we have agreed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6"/>
        <w:gridCol w:w="9389"/>
      </w:tblGrid>
      <w:tr>
        <w:trPr/>
        <w:tc>
          <w:tcPr>
            <w:tcW w:w="816"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938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16" w:type="dxa"/>
            <w:tcBorders/>
            <w:vAlign w:val="center"/>
          </w:tcPr>
          <w:p>
            <w:pPr>
              <w:pStyle w:val="TableContents"/>
              <w:bidi w:val="0"/>
              <w:spacing w:before="0" w:after="283"/>
              <w:jc w:val="center"/>
              <w:rPr/>
            </w:pPr>
            <w:hyperlink r:id="rId26">
              <w:r>
                <w:rPr>
                  <w:rStyle w:val="InternetLink"/>
                  <w:rFonts w:ascii="Times New Roman;Times;Serif" w:hAnsi="Times New Roman;Times;Serif"/>
                  <w:sz w:val="20"/>
                </w:rPr>
                <w:t>3.1</w:t>
              </w:r>
            </w:hyperlink>
          </w:p>
        </w:tc>
        <w:tc>
          <w:tcPr>
            <w:tcW w:w="9389" w:type="dxa"/>
            <w:tcBorders/>
            <w:vAlign w:val="center"/>
          </w:tcPr>
          <w:p>
            <w:pPr>
              <w:pStyle w:val="TableContents"/>
              <w:bidi w:val="0"/>
              <w:spacing w:before="0" w:after="283"/>
              <w:jc w:val="left"/>
              <w:rPr/>
            </w:pPr>
            <w:hyperlink r:id="rId27">
              <w:r>
                <w:rPr>
                  <w:rStyle w:val="InternetLink"/>
                  <w:rFonts w:ascii="Times New Roman;Times;Serif" w:hAnsi="Times New Roman;Times;Serif"/>
                  <w:sz w:val="20"/>
                </w:rPr>
                <w:t>Amended and Restated Memorandum and Articles of Association (incorporated herein by reference to Exhibit 1.1 to our annual report on Form 20-F for the fiscal year ended December 31, 2023 (File No. 001-39977), filed with the SEC on May 15, 2024)</w:t>
              </w:r>
            </w:hyperlink>
          </w:p>
        </w:tc>
      </w:tr>
      <w:tr>
        <w:trPr/>
        <w:tc>
          <w:tcPr>
            <w:tcW w:w="816" w:type="dxa"/>
            <w:tcBorders/>
            <w:vAlign w:val="center"/>
          </w:tcPr>
          <w:p>
            <w:pPr>
              <w:pStyle w:val="TableContents"/>
              <w:bidi w:val="0"/>
              <w:spacing w:before="0" w:after="283"/>
              <w:jc w:val="center"/>
              <w:rPr/>
            </w:pPr>
            <w:hyperlink r:id="rId28">
              <w:r>
                <w:rPr>
                  <w:rStyle w:val="InternetLink"/>
                  <w:rFonts w:ascii="Times New Roman;Times;Serif" w:hAnsi="Times New Roman;Times;Serif"/>
                  <w:sz w:val="20"/>
                </w:rPr>
                <w:t>4.1</w:t>
              </w:r>
            </w:hyperlink>
          </w:p>
        </w:tc>
        <w:tc>
          <w:tcPr>
            <w:tcW w:w="9389" w:type="dxa"/>
            <w:tcBorders/>
            <w:vAlign w:val="center"/>
          </w:tcPr>
          <w:p>
            <w:pPr>
              <w:pStyle w:val="TableContents"/>
              <w:bidi w:val="0"/>
              <w:spacing w:before="0" w:after="283"/>
              <w:jc w:val="left"/>
              <w:rPr/>
            </w:pPr>
            <w:hyperlink r:id="rId29">
              <w:r>
                <w:rPr>
                  <w:rStyle w:val="InternetLink"/>
                  <w:rFonts w:ascii="Times New Roman;Times;Serif" w:hAnsi="Times New Roman;Times;Serif"/>
                  <w:sz w:val="20"/>
                </w:rPr>
                <w:t>Registrant’s Specimen Certificate for Ordinary Shares (incorporated herein by reference to Exhibit 2.1 to our annual report on Form 20-F for the fiscal year ended December 31, 2022 (File No. 001-39977), filed with the SEC on May 8, 2023)</w:t>
              </w:r>
            </w:hyperlink>
          </w:p>
        </w:tc>
      </w:tr>
      <w:tr>
        <w:trPr/>
        <w:tc>
          <w:tcPr>
            <w:tcW w:w="816" w:type="dxa"/>
            <w:tcBorders/>
            <w:vAlign w:val="center"/>
          </w:tcPr>
          <w:p>
            <w:pPr>
              <w:pStyle w:val="TableContents"/>
              <w:bidi w:val="0"/>
              <w:spacing w:before="0" w:after="283"/>
              <w:jc w:val="center"/>
              <w:rPr/>
            </w:pPr>
            <w:hyperlink w:anchor="tm2624270d1_ex5-1.htm">
              <w:r>
                <w:rPr>
                  <w:rStyle w:val="InternetLink"/>
                  <w:rFonts w:ascii="Times New Roman;Times;Serif" w:hAnsi="Times New Roman;Times;Serif"/>
                  <w:sz w:val="20"/>
                </w:rPr>
                <w:t>5.1</w:t>
              </w:r>
            </w:hyperlink>
          </w:p>
        </w:tc>
        <w:tc>
          <w:tcPr>
            <w:tcW w:w="9389" w:type="dxa"/>
            <w:tcBorders/>
            <w:vAlign w:val="center"/>
          </w:tcPr>
          <w:p>
            <w:pPr>
              <w:pStyle w:val="TableContents"/>
              <w:bidi w:val="0"/>
              <w:spacing w:before="0" w:after="283"/>
              <w:jc w:val="left"/>
              <w:rPr/>
            </w:pPr>
            <w:hyperlink w:anchor="tm2624270d1_ex5-1.htm">
              <w:r>
                <w:rPr>
                  <w:rStyle w:val="InternetLink"/>
                  <w:rFonts w:ascii="Times New Roman;Times;Serif" w:hAnsi="Times New Roman;Times;Serif"/>
                  <w:sz w:val="20"/>
                </w:rPr>
                <w:t>Opinion of Appleby as to validity of the Ordinary Shares.</w:t>
              </w:r>
            </w:hyperlink>
          </w:p>
        </w:tc>
      </w:tr>
      <w:tr>
        <w:trPr/>
        <w:tc>
          <w:tcPr>
            <w:tcW w:w="816" w:type="dxa"/>
            <w:tcBorders/>
            <w:vAlign w:val="center"/>
          </w:tcPr>
          <w:p>
            <w:pPr>
              <w:pStyle w:val="TableContents"/>
              <w:bidi w:val="0"/>
              <w:spacing w:before="0" w:after="283"/>
              <w:jc w:val="center"/>
              <w:rPr/>
            </w:pPr>
            <w:hyperlink w:anchor="tm2624270d1_ex8-1.htm">
              <w:r>
                <w:rPr>
                  <w:rStyle w:val="InternetLink"/>
                </w:rPr>
                <w:t>8.1</w:t>
              </w:r>
            </w:hyperlink>
          </w:p>
        </w:tc>
        <w:tc>
          <w:tcPr>
            <w:tcW w:w="9389" w:type="dxa"/>
            <w:tcBorders/>
            <w:vAlign w:val="center"/>
          </w:tcPr>
          <w:p>
            <w:pPr>
              <w:pStyle w:val="TableContents"/>
              <w:bidi w:val="0"/>
              <w:spacing w:before="0" w:after="283"/>
              <w:jc w:val="left"/>
              <w:rPr/>
            </w:pPr>
            <w:hyperlink w:anchor="tm2624270d1_ex8-1.htm">
              <w:r>
                <w:rPr>
                  <w:rStyle w:val="InternetLink"/>
                </w:rPr>
                <w:t>Opinion of ANLI Partners Law Offices, LLP (Tianjin) as to certain matters of PRC law, including certain PRC tax matters.</w:t>
              </w:r>
            </w:hyperlink>
          </w:p>
        </w:tc>
      </w:tr>
      <w:tr>
        <w:trPr/>
        <w:tc>
          <w:tcPr>
            <w:tcW w:w="816" w:type="dxa"/>
            <w:tcBorders/>
            <w:vAlign w:val="center"/>
          </w:tcPr>
          <w:p>
            <w:pPr>
              <w:pStyle w:val="TableContents"/>
              <w:bidi w:val="0"/>
              <w:spacing w:before="0" w:after="283"/>
              <w:jc w:val="center"/>
              <w:rPr/>
            </w:pPr>
            <w:hyperlink r:id="rId30">
              <w:r>
                <w:rPr>
                  <w:rStyle w:val="InternetLink"/>
                  <w:rFonts w:ascii="Times New Roman;Times;Serif" w:hAnsi="Times New Roman;Times;Serif"/>
                  <w:sz w:val="20"/>
                </w:rPr>
                <w:t>10.1</w:t>
              </w:r>
            </w:hyperlink>
          </w:p>
        </w:tc>
        <w:tc>
          <w:tcPr>
            <w:tcW w:w="9389" w:type="dxa"/>
            <w:tcBorders/>
            <w:vAlign w:val="center"/>
          </w:tcPr>
          <w:p>
            <w:pPr>
              <w:pStyle w:val="TableContents"/>
              <w:bidi w:val="0"/>
              <w:spacing w:before="0" w:after="283"/>
              <w:jc w:val="left"/>
              <w:rPr/>
            </w:pPr>
            <w:hyperlink r:id="rId31">
              <w:r>
                <w:rPr>
                  <w:rStyle w:val="InternetLink"/>
                  <w:rFonts w:ascii="Times New Roman;Times;Serif" w:hAnsi="Times New Roman;Times;Serif"/>
                  <w:sz w:val="20"/>
                </w:rPr>
                <w:t>Form of Subscription Agreement dated June 5, 2026 (incorporated by reference to Exhibit 10.1 to Form 6-K furnished June 10, 2026).</w:t>
              </w:r>
            </w:hyperlink>
          </w:p>
        </w:tc>
      </w:tr>
      <w:tr>
        <w:trPr/>
        <w:tc>
          <w:tcPr>
            <w:tcW w:w="816" w:type="dxa"/>
            <w:tcBorders/>
            <w:vAlign w:val="center"/>
          </w:tcPr>
          <w:p>
            <w:pPr>
              <w:pStyle w:val="TableContents"/>
              <w:bidi w:val="0"/>
              <w:spacing w:before="0" w:after="283"/>
              <w:jc w:val="center"/>
              <w:rPr/>
            </w:pPr>
            <w:hyperlink w:anchor="tm2624270d1_ex23-1.htm">
              <w:r>
                <w:rPr>
                  <w:rStyle w:val="InternetLink"/>
                  <w:rFonts w:ascii="Times New Roman;Times;Serif" w:hAnsi="Times New Roman;Times;Serif"/>
                  <w:sz w:val="20"/>
                </w:rPr>
                <w:t>23.1</w:t>
              </w:r>
            </w:hyperlink>
          </w:p>
        </w:tc>
        <w:tc>
          <w:tcPr>
            <w:tcW w:w="9389" w:type="dxa"/>
            <w:tcBorders/>
            <w:vAlign w:val="center"/>
          </w:tcPr>
          <w:p>
            <w:pPr>
              <w:pStyle w:val="TableContents"/>
              <w:bidi w:val="0"/>
              <w:spacing w:before="0" w:after="283"/>
              <w:jc w:val="left"/>
              <w:rPr/>
            </w:pPr>
            <w:hyperlink w:anchor="tm2624270d1_ex23-1.htm">
              <w:r>
                <w:rPr>
                  <w:rStyle w:val="InternetLink"/>
                  <w:rFonts w:ascii="Times New Roman;Times;Serif" w:hAnsi="Times New Roman;Times;Serif"/>
                  <w:sz w:val="20"/>
                </w:rPr>
                <w:t>Consent of GGF CPA LTD.</w:t>
              </w:r>
            </w:hyperlink>
          </w:p>
        </w:tc>
      </w:tr>
      <w:tr>
        <w:trPr/>
        <w:tc>
          <w:tcPr>
            <w:tcW w:w="816" w:type="dxa"/>
            <w:tcBorders/>
            <w:vAlign w:val="center"/>
          </w:tcPr>
          <w:p>
            <w:pPr>
              <w:pStyle w:val="TableContents"/>
              <w:bidi w:val="0"/>
              <w:spacing w:before="0" w:after="283"/>
              <w:jc w:val="center"/>
              <w:rPr/>
            </w:pPr>
            <w:hyperlink w:anchor="tm2624270d1_ex5-1.htm">
              <w:r>
                <w:rPr>
                  <w:rStyle w:val="InternetLink"/>
                  <w:rFonts w:ascii="Times New Roman;Times;Serif" w:hAnsi="Times New Roman;Times;Serif"/>
                  <w:sz w:val="20"/>
                </w:rPr>
                <w:t>23.2</w:t>
              </w:r>
            </w:hyperlink>
          </w:p>
        </w:tc>
        <w:tc>
          <w:tcPr>
            <w:tcW w:w="9389" w:type="dxa"/>
            <w:tcBorders/>
            <w:vAlign w:val="center"/>
          </w:tcPr>
          <w:p>
            <w:pPr>
              <w:pStyle w:val="TableContents"/>
              <w:bidi w:val="0"/>
              <w:spacing w:before="0" w:after="283"/>
              <w:jc w:val="left"/>
              <w:rPr/>
            </w:pPr>
            <w:hyperlink w:anchor="tm2624270d1_ex5-1.htm">
              <w:r>
                <w:rPr>
                  <w:rStyle w:val="InternetLink"/>
                </w:rPr>
                <w:t>Consent of Appleby (included in Exhibit 5.1).</w:t>
              </w:r>
            </w:hyperlink>
          </w:p>
        </w:tc>
      </w:tr>
      <w:tr>
        <w:trPr/>
        <w:tc>
          <w:tcPr>
            <w:tcW w:w="816" w:type="dxa"/>
            <w:tcBorders/>
            <w:vAlign w:val="center"/>
          </w:tcPr>
          <w:p>
            <w:pPr>
              <w:pStyle w:val="TableContents"/>
              <w:bidi w:val="0"/>
              <w:spacing w:before="0" w:after="283"/>
              <w:jc w:val="center"/>
              <w:rPr/>
            </w:pPr>
            <w:hyperlink w:anchor="tm2624270d1_ex8-1.htm">
              <w:r>
                <w:rPr>
                  <w:rStyle w:val="InternetLink"/>
                  <w:rFonts w:ascii="Times New Roman;Times;Serif" w:hAnsi="Times New Roman;Times;Serif"/>
                  <w:sz w:val="20"/>
                </w:rPr>
                <w:t>23.3</w:t>
              </w:r>
            </w:hyperlink>
          </w:p>
        </w:tc>
        <w:tc>
          <w:tcPr>
            <w:tcW w:w="9389" w:type="dxa"/>
            <w:tcBorders/>
            <w:vAlign w:val="center"/>
          </w:tcPr>
          <w:p>
            <w:pPr>
              <w:pStyle w:val="TableContents"/>
              <w:bidi w:val="0"/>
              <w:spacing w:before="0" w:after="283"/>
              <w:jc w:val="left"/>
              <w:rPr/>
            </w:pPr>
            <w:hyperlink w:anchor="tm2624270d1_ex8-1.htm">
              <w:r>
                <w:rPr>
                  <w:rStyle w:val="InternetLink"/>
                </w:rPr>
                <w:t>Consent of ANLI Partners Law Offices, LLP (Tianjin). (included in Exhibit 8.1).</w:t>
              </w:r>
            </w:hyperlink>
          </w:p>
        </w:tc>
      </w:tr>
      <w:tr>
        <w:trPr/>
        <w:tc>
          <w:tcPr>
            <w:tcW w:w="816" w:type="dxa"/>
            <w:tcBorders/>
            <w:vAlign w:val="center"/>
          </w:tcPr>
          <w:p>
            <w:pPr>
              <w:pStyle w:val="TableContents"/>
              <w:bidi w:val="0"/>
              <w:spacing w:before="0" w:after="283"/>
              <w:jc w:val="center"/>
              <w:rPr/>
            </w:pPr>
            <w:hyperlink w:anchor="tm2624270d1_ex23-4.htm">
              <w:r>
                <w:rPr>
                  <w:rStyle w:val="InternetLink"/>
                  <w:rFonts w:ascii="Times New Roman;Times;Serif" w:hAnsi="Times New Roman;Times;Serif"/>
                  <w:sz w:val="20"/>
                </w:rPr>
                <w:t>23.4</w:t>
              </w:r>
            </w:hyperlink>
          </w:p>
        </w:tc>
        <w:tc>
          <w:tcPr>
            <w:tcW w:w="9389" w:type="dxa"/>
            <w:tcBorders/>
            <w:vAlign w:val="center"/>
          </w:tcPr>
          <w:p>
            <w:pPr>
              <w:pStyle w:val="TableContents"/>
              <w:bidi w:val="0"/>
              <w:spacing w:before="0" w:after="283"/>
              <w:jc w:val="left"/>
              <w:rPr/>
            </w:pPr>
            <w:hyperlink w:anchor="tm2624270d1_ex23-4.htm">
              <w:r>
                <w:rPr>
                  <w:rStyle w:val="InternetLink"/>
                  <w:rFonts w:ascii="Times New Roman;Times;Serif" w:hAnsi="Times New Roman;Times;Serif"/>
                  <w:sz w:val="20"/>
                </w:rPr>
                <w:t>Consent of YCM CPA INC.</w:t>
              </w:r>
            </w:hyperlink>
          </w:p>
        </w:tc>
      </w:tr>
      <w:tr>
        <w:trPr/>
        <w:tc>
          <w:tcPr>
            <w:tcW w:w="816" w:type="dxa"/>
            <w:tcBorders/>
            <w:vAlign w:val="center"/>
          </w:tcPr>
          <w:p>
            <w:pPr>
              <w:pStyle w:val="TableContents"/>
              <w:bidi w:val="0"/>
              <w:spacing w:before="0" w:after="283"/>
              <w:jc w:val="center"/>
              <w:rPr/>
            </w:pPr>
            <w:hyperlink w:anchor="a_019">
              <w:r>
                <w:rPr>
                  <w:rStyle w:val="InternetLink"/>
                  <w:rFonts w:ascii="Times New Roman;Times;Serif" w:hAnsi="Times New Roman;Times;Serif"/>
                  <w:sz w:val="20"/>
                </w:rPr>
                <w:t>24.1</w:t>
              </w:r>
            </w:hyperlink>
          </w:p>
        </w:tc>
        <w:tc>
          <w:tcPr>
            <w:tcW w:w="9389" w:type="dxa"/>
            <w:tcBorders/>
            <w:vAlign w:val="center"/>
          </w:tcPr>
          <w:p>
            <w:pPr>
              <w:pStyle w:val="TableContents"/>
              <w:bidi w:val="0"/>
              <w:spacing w:before="0" w:after="283"/>
              <w:jc w:val="left"/>
              <w:rPr/>
            </w:pPr>
            <w:hyperlink w:anchor="a_019">
              <w:r>
                <w:rPr>
                  <w:rStyle w:val="InternetLink"/>
                  <w:rFonts w:ascii="Times New Roman;Times;Serif" w:hAnsi="Times New Roman;Times;Serif"/>
                  <w:sz w:val="20"/>
                </w:rPr>
                <w:t>Power of Attorney (included on the signature page).</w:t>
              </w:r>
            </w:hyperlink>
          </w:p>
        </w:tc>
      </w:tr>
      <w:tr>
        <w:trPr/>
        <w:tc>
          <w:tcPr>
            <w:tcW w:w="816" w:type="dxa"/>
            <w:tcBorders/>
            <w:vAlign w:val="center"/>
          </w:tcPr>
          <w:p>
            <w:pPr>
              <w:pStyle w:val="TableContents"/>
              <w:bidi w:val="0"/>
              <w:spacing w:before="0" w:after="283"/>
              <w:jc w:val="center"/>
              <w:rPr/>
            </w:pPr>
            <w:hyperlink w:anchor="tm2624270d1_exfilingfees.htm">
              <w:r>
                <w:rPr>
                  <w:rStyle w:val="InternetLink"/>
                  <w:rFonts w:ascii="Times New Roman;Times;Serif" w:hAnsi="Times New Roman;Times;Serif"/>
                  <w:sz w:val="20"/>
                </w:rPr>
                <w:t>107</w:t>
              </w:r>
            </w:hyperlink>
          </w:p>
        </w:tc>
        <w:tc>
          <w:tcPr>
            <w:tcW w:w="9389" w:type="dxa"/>
            <w:tcBorders/>
            <w:vAlign w:val="center"/>
          </w:tcPr>
          <w:p>
            <w:pPr>
              <w:pStyle w:val="TableContents"/>
              <w:bidi w:val="0"/>
              <w:spacing w:before="0" w:after="283"/>
              <w:jc w:val="left"/>
              <w:rPr/>
            </w:pPr>
            <w:hyperlink w:anchor="tm2624270d1_exfilingfee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hanging="0"/>
        <w:jc w:val="left"/>
        <w:rPr>
          <w:caps w:val="false"/>
          <w:smallCaps w:val="false"/>
        </w:rPr>
      </w:pPr>
      <w:r>
        <w:rPr>
          <w:caps w:val="false"/>
          <w:smallCaps w:val="false"/>
        </w:rPr>
        <w:t> </w:t>
      </w:r>
    </w:p>
    <w:tbl>
      <w:tblPr>
        <w:tblW w:w="4110" w:type="dxa"/>
        <w:jc w:val="left"/>
        <w:tblInd w:w="0" w:type="dxa"/>
        <w:tblLayout w:type="fixed"/>
        <w:tblCellMar>
          <w:top w:w="0" w:type="dxa"/>
          <w:left w:w="0" w:type="dxa"/>
          <w:bottom w:w="0" w:type="dxa"/>
          <w:right w:w="0" w:type="dxa"/>
        </w:tblCellMar>
      </w:tblPr>
      <w:tblGrid>
        <w:gridCol w:w="80"/>
        <w:gridCol w:w="230"/>
        <w:gridCol w:w="3800"/>
      </w:tblGrid>
      <w:tr>
        <w:trPr/>
        <w:tc>
          <w:tcPr>
            <w:tcW w:w="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244"/>
        <w:gridCol w:w="9881"/>
      </w:tblGrid>
      <w:tr>
        <w:trPr/>
        <w:tc>
          <w:tcPr>
            <w:tcW w:w="8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7170" w:type="dxa"/>
        <w:jc w:val="left"/>
        <w:tblInd w:w="0" w:type="dxa"/>
        <w:tblLayout w:type="fixed"/>
        <w:tblCellMar>
          <w:top w:w="0" w:type="dxa"/>
          <w:left w:w="0" w:type="dxa"/>
          <w:bottom w:w="0" w:type="dxa"/>
          <w:right w:w="0" w:type="dxa"/>
        </w:tblCellMar>
      </w:tblPr>
      <w:tblGrid>
        <w:gridCol w:w="80"/>
        <w:gridCol w:w="200"/>
        <w:gridCol w:w="6890"/>
      </w:tblGrid>
      <w:tr>
        <w:trPr/>
        <w:tc>
          <w:tcPr>
            <w:tcW w:w="8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 of 1933;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207"/>
        <w:gridCol w:w="9918"/>
      </w:tblGrid>
      <w:tr>
        <w:trPr/>
        <w:tc>
          <w:tcPr>
            <w:tcW w:w="8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294"/>
        <w:gridCol w:w="9831"/>
      </w:tblGrid>
      <w:tr>
        <w:trPr/>
        <w:tc>
          <w:tcPr>
            <w:tcW w:w="8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206"/>
        <w:gridCol w:w="9919"/>
      </w:tblGrid>
      <w:tr>
        <w:trPr/>
        <w:tc>
          <w:tcPr>
            <w:tcW w:w="8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228"/>
        <w:gridCol w:w="9897"/>
      </w:tblGrid>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190"/>
        <w:gridCol w:w="9935"/>
      </w:tblGrid>
      <w:tr>
        <w:trPr/>
        <w:tc>
          <w:tcPr>
            <w:tcW w:w="8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085" w:type="dxa"/>
        <w:jc w:val="left"/>
        <w:tblInd w:w="0" w:type="dxa"/>
        <w:tblLayout w:type="fixed"/>
        <w:tblCellMar>
          <w:top w:w="0" w:type="dxa"/>
          <w:left w:w="0" w:type="dxa"/>
          <w:bottom w:w="0" w:type="dxa"/>
          <w:right w:w="0" w:type="dxa"/>
        </w:tblCellMar>
      </w:tblPr>
      <w:tblGrid>
        <w:gridCol w:w="80"/>
        <w:gridCol w:w="245"/>
        <w:gridCol w:w="7760"/>
      </w:tblGrid>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of 1933 to any purchaser:</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171"/>
        <w:gridCol w:w="9954"/>
      </w:tblGrid>
      <w:tr>
        <w:trPr/>
        <w:tc>
          <w:tcPr>
            <w:tcW w:w="8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204"/>
        <w:gridCol w:w="9921"/>
      </w:tblGrid>
      <w:tr>
        <w:trPr/>
        <w:tc>
          <w:tcPr>
            <w:tcW w:w="8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i/>
                <w:sz w:val="20"/>
              </w:rPr>
              <w:t>Provided</w:t>
            </w:r>
            <w:r>
              <w:rPr>
                <w:rFonts w:ascii="Times New Roman;Times;Serif" w:hAnsi="Times New Roman;Times;Serif"/>
                <w:sz w:val="20"/>
              </w:rPr>
              <w:t>, </w:t>
            </w:r>
            <w:r>
              <w:rPr>
                <w:rFonts w:ascii="Times New Roman;Times;Serif" w:hAnsi="Times New Roman;Times;Serif"/>
                <w:i/>
                <w:sz w:val="20"/>
              </w:rPr>
              <w:t>however</w:t>
            </w:r>
            <w:r>
              <w:rPr>
                <w:rFonts w:ascii="Times New Roman;Times;Serif" w:hAnsi="Times New Roman;Times;Serif"/>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195"/>
        <w:gridCol w:w="9930"/>
      </w:tblGrid>
      <w:tr>
        <w:trPr/>
        <w:tc>
          <w:tcPr>
            <w:tcW w:w="8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193"/>
        <w:gridCol w:w="9932"/>
      </w:tblGrid>
      <w:tr>
        <w:trPr/>
        <w:tc>
          <w:tcPr>
            <w:tcW w:w="8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245"/>
        <w:gridCol w:w="9880"/>
      </w:tblGrid>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292"/>
        <w:gridCol w:w="9833"/>
      </w:tblGrid>
      <w:tr>
        <w:trPr/>
        <w:tc>
          <w:tcPr>
            <w:tcW w:w="8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9225" w:type="dxa"/>
        <w:jc w:val="left"/>
        <w:tblInd w:w="0" w:type="dxa"/>
        <w:tblLayout w:type="fixed"/>
        <w:tblCellMar>
          <w:top w:w="0" w:type="dxa"/>
          <w:left w:w="0" w:type="dxa"/>
          <w:bottom w:w="0" w:type="dxa"/>
          <w:right w:w="0" w:type="dxa"/>
        </w:tblCellMar>
      </w:tblPr>
      <w:tblGrid>
        <w:gridCol w:w="80"/>
        <w:gridCol w:w="305"/>
        <w:gridCol w:w="8840"/>
      </w:tblGrid>
      <w:tr>
        <w:trPr/>
        <w:tc>
          <w:tcPr>
            <w:tcW w:w="8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196"/>
        <w:gridCol w:w="9929"/>
      </w:tblGrid>
      <w:tr>
        <w:trPr/>
        <w:tc>
          <w:tcPr>
            <w:tcW w:w="8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176"/>
        <w:gridCol w:w="9949"/>
      </w:tblGrid>
      <w:tr>
        <w:trPr/>
        <w:tc>
          <w:tcPr>
            <w:tcW w:w="8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Beijing, People’s Republic of China, on September 9, 2026.</w:t>
      </w:r>
    </w:p>
    <w:p>
      <w:pPr>
        <w:pStyle w:val="TextBody"/>
        <w:bidi w:val="0"/>
        <w:spacing w:before="0" w:after="0"/>
        <w:ind w:left="0" w:right="0" w:hanging="0"/>
        <w:jc w:val="left"/>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80"/>
        <w:gridCol w:w="545"/>
        <w:gridCol w:w="4430"/>
      </w:tblGrid>
      <w:tr>
        <w:trPr/>
        <w:tc>
          <w:tcPr>
            <w:tcW w:w="8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BAOSHENG MEDIA GROUP HOLDINGS LIMITED</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Lina Jiang</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Lina Jiang</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Chairwoman of the Board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19"/>
      <w:bookmarkEnd w:id="2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Lina Jiang and Chenfang Zhai, and each of them singly (with full power to each of them to act alone), the individual’s true and lawful attorneys-in-fact and agents, with full power of substitution and resubstitution in each of them, for the person and in his or her name, place and stead, and in any and all capacities, to sign any and all amendments or supplements to this Registration Statement, including any post-effective amendments, and to file the same, with all exhibits thereto and other documents in connection therewith, with the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his or her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1423"/>
        <w:gridCol w:w="65"/>
        <w:gridCol w:w="6906"/>
        <w:gridCol w:w="65"/>
        <w:gridCol w:w="1746"/>
      </w:tblGrid>
      <w:tr>
        <w:trPr/>
        <w:tc>
          <w:tcPr>
            <w:tcW w:w="142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5" w:type="dxa"/>
            <w:tcBorders/>
            <w:shd w:fill="FFFFFF" w:val="clear"/>
            <w:tcMar>
              <w:bottom w:w="0" w:type="dxa"/>
            </w:tcMar>
            <w:vAlign w:val="center"/>
          </w:tcPr>
          <w:p>
            <w:pPr>
              <w:pStyle w:val="TableContents"/>
              <w:bidi w:val="0"/>
              <w:spacing w:before="0" w:after="283"/>
              <w:jc w:val="left"/>
              <w:rPr/>
            </w:pPr>
            <w:r>
              <w:rPr/>
              <w:t> </w:t>
            </w:r>
          </w:p>
        </w:tc>
        <w:tc>
          <w:tcPr>
            <w:tcW w:w="690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POSITION</w:t>
            </w:r>
          </w:p>
        </w:tc>
        <w:tc>
          <w:tcPr>
            <w:tcW w:w="65" w:type="dxa"/>
            <w:tcBorders/>
            <w:shd w:fill="FFFFFF" w:val="clear"/>
            <w:tcMar>
              <w:bottom w:w="0"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r>
      <w:tr>
        <w:trPr/>
        <w:tc>
          <w:tcPr>
            <w:tcW w:w="1423" w:type="dxa"/>
            <w:tcBorders/>
            <w:shd w:fill="FFFFFF" w:val="clear"/>
            <w:tcMar>
              <w:bottom w:w="0" w:type="dxa"/>
            </w:tcMar>
            <w:vAlign w:val="center"/>
          </w:tcPr>
          <w:p>
            <w:pPr>
              <w:pStyle w:val="TableContents"/>
              <w:bidi w:val="0"/>
              <w:spacing w:before="0" w:after="283"/>
              <w:jc w:val="left"/>
              <w:rPr/>
            </w:pPr>
            <w:r>
              <w:rPr/>
              <w:t> </w:t>
            </w:r>
          </w:p>
        </w:tc>
        <w:tc>
          <w:tcPr>
            <w:tcW w:w="6971" w:type="dxa"/>
            <w:gridSpan w:val="2"/>
            <w:tcBorders/>
            <w:shd w:fill="FFFFFF" w:val="clear"/>
            <w:tcMar>
              <w:bottom w:w="0" w:type="dxa"/>
            </w:tcMar>
            <w:vAlign w:val="center"/>
          </w:tcPr>
          <w:p>
            <w:pPr>
              <w:pStyle w:val="TableContents"/>
              <w:bidi w:val="0"/>
              <w:spacing w:before="0" w:after="283"/>
              <w:jc w:val="left"/>
              <w:rPr/>
            </w:pPr>
            <w:r>
              <w:rPr/>
              <w:t> </w:t>
            </w:r>
          </w:p>
        </w:tc>
        <w:tc>
          <w:tcPr>
            <w:tcW w:w="1811" w:type="dxa"/>
            <w:gridSpan w:val="2"/>
            <w:tcBorders/>
            <w:shd w:fill="FFFFFF" w:val="clear"/>
            <w:tcMar>
              <w:bottom w:w="0" w:type="dxa"/>
            </w:tcMar>
            <w:vAlign w:val="center"/>
          </w:tcPr>
          <w:p>
            <w:pPr>
              <w:pStyle w:val="TableContents"/>
              <w:bidi w:val="0"/>
              <w:spacing w:before="0" w:after="283"/>
              <w:jc w:val="left"/>
              <w:rPr/>
            </w:pPr>
            <w:r>
              <w:rPr/>
              <w:t> </w:t>
            </w:r>
          </w:p>
        </w:tc>
      </w:tr>
      <w:tr>
        <w:trPr/>
        <w:tc>
          <w:tcPr>
            <w:tcW w:w="1423" w:type="dxa"/>
            <w:tcBorders/>
            <w:shd w:fill="FFFFFF" w:val="clear"/>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Lina Jiang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Lina Jiang</w:t>
            </w:r>
          </w:p>
        </w:tc>
        <w:tc>
          <w:tcPr>
            <w:tcW w:w="65" w:type="dxa"/>
            <w:tcBorders/>
            <w:shd w:fill="FFFFFF" w:val="clear"/>
            <w:tcMar>
              <w:bottom w:w="0" w:type="dxa"/>
            </w:tcMar>
            <w:vAlign w:val="center"/>
          </w:tcPr>
          <w:p>
            <w:pPr>
              <w:pStyle w:val="TableContents"/>
              <w:bidi w:val="0"/>
              <w:spacing w:before="0" w:after="283"/>
              <w:ind w:left="0" w:right="0" w:hanging="180"/>
              <w:jc w:val="left"/>
              <w:rPr/>
            </w:pPr>
            <w:r>
              <w:rPr/>
              <w:t> </w:t>
            </w:r>
          </w:p>
        </w:tc>
        <w:tc>
          <w:tcPr>
            <w:tcW w:w="690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Chairman of the Board of Directors (Principal Executive Officer)</w:t>
            </w:r>
          </w:p>
        </w:tc>
        <w:tc>
          <w:tcPr>
            <w:tcW w:w="65" w:type="dxa"/>
            <w:tcBorders/>
            <w:shd w:fill="FFFFFF" w:val="clear"/>
            <w:tcMar>
              <w:bottom w:w="0" w:type="dxa"/>
            </w:tcMar>
            <w:vAlign w:val="center"/>
          </w:tcPr>
          <w:p>
            <w:pPr>
              <w:pStyle w:val="TableContents"/>
              <w:bidi w:val="0"/>
              <w:spacing w:before="0" w:after="283"/>
              <w:jc w:val="left"/>
              <w:rPr/>
            </w:pPr>
            <w:r>
              <w:rPr/>
              <w:t> </w:t>
            </w:r>
          </w:p>
        </w:tc>
        <w:tc>
          <w:tcPr>
            <w:tcW w:w="1746" w:type="dxa"/>
            <w:tcBorders/>
            <w:shd w:fill="FFFFFF" w:val="clear"/>
            <w:tcMar>
              <w:bottom w:w="0" w:type="dxa"/>
            </w:tcMar>
            <w:vAlign w:val="center"/>
          </w:tcPr>
          <w:p>
            <w:pPr>
              <w:pStyle w:val="TableContents"/>
              <w:bidi w:val="0"/>
              <w:spacing w:before="0" w:after="283"/>
              <w:jc w:val="center"/>
              <w:rPr/>
            </w:pPr>
            <w:r>
              <w:rPr/>
              <w:t>September 9, 2026</w:t>
            </w:r>
          </w:p>
        </w:tc>
      </w:tr>
      <w:tr>
        <w:trPr/>
        <w:tc>
          <w:tcPr>
            <w:tcW w:w="1423" w:type="dxa"/>
            <w:tcBorders/>
            <w:shd w:fill="FFFFFF" w:val="clear"/>
            <w:tcMar>
              <w:bottom w:w="0" w:type="dxa"/>
            </w:tcMar>
            <w:vAlign w:val="center"/>
          </w:tcPr>
          <w:p>
            <w:pPr>
              <w:pStyle w:val="TableContents"/>
              <w:bidi w:val="0"/>
              <w:spacing w:before="0" w:after="283"/>
              <w:jc w:val="left"/>
              <w:rPr/>
            </w:pPr>
            <w:r>
              <w:rPr/>
              <w:t> </w:t>
            </w:r>
          </w:p>
        </w:tc>
        <w:tc>
          <w:tcPr>
            <w:tcW w:w="6971" w:type="dxa"/>
            <w:gridSpan w:val="2"/>
            <w:tcBorders/>
            <w:shd w:fill="FFFFFF" w:val="clear"/>
            <w:tcMar>
              <w:bottom w:w="0" w:type="dxa"/>
            </w:tcMar>
            <w:vAlign w:val="center"/>
          </w:tcPr>
          <w:p>
            <w:pPr>
              <w:pStyle w:val="TableContents"/>
              <w:bidi w:val="0"/>
              <w:spacing w:before="0" w:after="283"/>
              <w:jc w:val="left"/>
              <w:rPr/>
            </w:pPr>
            <w:r>
              <w:rPr/>
              <w:t> </w:t>
            </w:r>
          </w:p>
        </w:tc>
        <w:tc>
          <w:tcPr>
            <w:tcW w:w="1811" w:type="dxa"/>
            <w:gridSpan w:val="2"/>
            <w:tcBorders/>
            <w:shd w:fill="FFFFFF" w:val="clear"/>
            <w:tcMar>
              <w:bottom w:w="0" w:type="dxa"/>
            </w:tcMar>
            <w:vAlign w:val="center"/>
          </w:tcPr>
          <w:p>
            <w:pPr>
              <w:pStyle w:val="TableContents"/>
              <w:bidi w:val="0"/>
              <w:spacing w:before="0" w:after="283"/>
              <w:jc w:val="left"/>
              <w:rPr/>
            </w:pPr>
            <w:r>
              <w:rPr/>
              <w:t> </w:t>
            </w:r>
          </w:p>
        </w:tc>
      </w:tr>
      <w:tr>
        <w:trPr/>
        <w:tc>
          <w:tcPr>
            <w:tcW w:w="1423" w:type="dxa"/>
            <w:tcBorders/>
            <w:shd w:fill="FFFFFF" w:val="clear"/>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Chenfang Zhai</w:t>
            </w:r>
          </w:p>
          <w:p>
            <w:pPr>
              <w:pStyle w:val="TableContents"/>
              <w:bidi w:val="0"/>
              <w:spacing w:before="0" w:after="0"/>
              <w:ind w:left="240" w:right="0" w:hanging="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Chenfang Zhai</w:t>
            </w:r>
          </w:p>
        </w:tc>
        <w:tc>
          <w:tcPr>
            <w:tcW w:w="65" w:type="dxa"/>
            <w:tcBorders/>
            <w:shd w:fill="FFFFFF" w:val="clear"/>
            <w:tcMar>
              <w:bottom w:w="0" w:type="dxa"/>
            </w:tcMar>
            <w:vAlign w:val="center"/>
          </w:tcPr>
          <w:p>
            <w:pPr>
              <w:pStyle w:val="TableContents"/>
              <w:bidi w:val="0"/>
              <w:spacing w:before="0" w:after="283"/>
              <w:ind w:left="0" w:right="0" w:hanging="180"/>
              <w:jc w:val="left"/>
              <w:rPr/>
            </w:pPr>
            <w:r>
              <w:rPr/>
              <w:t> </w:t>
            </w:r>
          </w:p>
        </w:tc>
        <w:tc>
          <w:tcPr>
            <w:tcW w:w="690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(Principal Financial Officer and Principal Accounting Officer)</w:t>
            </w:r>
          </w:p>
        </w:tc>
        <w:tc>
          <w:tcPr>
            <w:tcW w:w="65" w:type="dxa"/>
            <w:tcBorders/>
            <w:shd w:fill="FFFFFF" w:val="clear"/>
            <w:tcMar>
              <w:bottom w:w="0" w:type="dxa"/>
            </w:tcMar>
            <w:vAlign w:val="center"/>
          </w:tcPr>
          <w:p>
            <w:pPr>
              <w:pStyle w:val="TableContents"/>
              <w:bidi w:val="0"/>
              <w:spacing w:before="0" w:after="283"/>
              <w:jc w:val="left"/>
              <w:rPr/>
            </w:pPr>
            <w:r>
              <w:rPr/>
              <w:t> </w:t>
            </w:r>
          </w:p>
        </w:tc>
        <w:tc>
          <w:tcPr>
            <w:tcW w:w="17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tc>
      </w:tr>
      <w:tr>
        <w:trPr/>
        <w:tc>
          <w:tcPr>
            <w:tcW w:w="1423" w:type="dxa"/>
            <w:tcBorders/>
            <w:shd w:fill="FFFFFF" w:val="clear"/>
            <w:tcMar>
              <w:bottom w:w="0" w:type="dxa"/>
            </w:tcMar>
            <w:vAlign w:val="center"/>
          </w:tcPr>
          <w:p>
            <w:pPr>
              <w:pStyle w:val="TableContents"/>
              <w:bidi w:val="0"/>
              <w:spacing w:before="0" w:after="283"/>
              <w:jc w:val="left"/>
              <w:rPr/>
            </w:pPr>
            <w:r>
              <w:rPr/>
              <w:t> </w:t>
            </w:r>
          </w:p>
        </w:tc>
        <w:tc>
          <w:tcPr>
            <w:tcW w:w="6971" w:type="dxa"/>
            <w:gridSpan w:val="2"/>
            <w:tcBorders/>
            <w:shd w:fill="FFFFFF" w:val="clear"/>
            <w:tcMar>
              <w:bottom w:w="0" w:type="dxa"/>
            </w:tcMar>
            <w:vAlign w:val="center"/>
          </w:tcPr>
          <w:p>
            <w:pPr>
              <w:pStyle w:val="TableContents"/>
              <w:bidi w:val="0"/>
              <w:spacing w:before="0" w:after="283"/>
              <w:jc w:val="left"/>
              <w:rPr/>
            </w:pPr>
            <w:r>
              <w:rPr/>
              <w:t> </w:t>
            </w:r>
          </w:p>
        </w:tc>
        <w:tc>
          <w:tcPr>
            <w:tcW w:w="1811" w:type="dxa"/>
            <w:gridSpan w:val="2"/>
            <w:tcBorders/>
            <w:shd w:fill="FFFFFF" w:val="clear"/>
            <w:tcMar>
              <w:bottom w:w="0" w:type="dxa"/>
            </w:tcMar>
            <w:vAlign w:val="center"/>
          </w:tcPr>
          <w:p>
            <w:pPr>
              <w:pStyle w:val="TableContents"/>
              <w:bidi w:val="0"/>
              <w:spacing w:before="0" w:after="283"/>
              <w:jc w:val="left"/>
              <w:rPr/>
            </w:pPr>
            <w:r>
              <w:rPr/>
              <w:t> </w:t>
            </w:r>
          </w:p>
        </w:tc>
      </w:tr>
      <w:tr>
        <w:trPr/>
        <w:tc>
          <w:tcPr>
            <w:tcW w:w="1423" w:type="dxa"/>
            <w:tcBorders/>
            <w:shd w:fill="FFFFFF" w:val="clear"/>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Lei Cai</w:t>
            </w:r>
          </w:p>
          <w:p>
            <w:pPr>
              <w:pStyle w:val="TableContents"/>
              <w:bidi w:val="0"/>
              <w:spacing w:before="0" w:after="0"/>
              <w:ind w:left="240" w:right="0" w:hanging="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 Cai</w:t>
            </w:r>
          </w:p>
        </w:tc>
        <w:tc>
          <w:tcPr>
            <w:tcW w:w="65" w:type="dxa"/>
            <w:tcBorders/>
            <w:shd w:fill="FFFFFF" w:val="clear"/>
            <w:tcMar>
              <w:bottom w:w="0" w:type="dxa"/>
            </w:tcMar>
            <w:vAlign w:val="center"/>
          </w:tcPr>
          <w:p>
            <w:pPr>
              <w:pStyle w:val="TableContents"/>
              <w:bidi w:val="0"/>
              <w:spacing w:before="0" w:after="283"/>
              <w:jc w:val="left"/>
              <w:rPr/>
            </w:pPr>
            <w:r>
              <w:rPr/>
              <w:t> </w:t>
            </w:r>
          </w:p>
        </w:tc>
        <w:tc>
          <w:tcPr>
            <w:tcW w:w="690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5" w:type="dxa"/>
            <w:tcBorders/>
            <w:shd w:fill="FFFFFF" w:val="clear"/>
            <w:tcMar>
              <w:bottom w:w="0" w:type="dxa"/>
            </w:tcMar>
            <w:vAlign w:val="center"/>
          </w:tcPr>
          <w:p>
            <w:pPr>
              <w:pStyle w:val="TableContents"/>
              <w:bidi w:val="0"/>
              <w:spacing w:before="0" w:after="283"/>
              <w:jc w:val="left"/>
              <w:rPr/>
            </w:pPr>
            <w:r>
              <w:rPr/>
              <w:t> </w:t>
            </w:r>
          </w:p>
        </w:tc>
        <w:tc>
          <w:tcPr>
            <w:tcW w:w="17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tc>
      </w:tr>
      <w:tr>
        <w:trPr/>
        <w:tc>
          <w:tcPr>
            <w:tcW w:w="1423" w:type="dxa"/>
            <w:tcBorders/>
            <w:shd w:fill="FFFFFF" w:val="clear"/>
            <w:tcMar>
              <w:bottom w:w="0" w:type="dxa"/>
            </w:tcMar>
            <w:vAlign w:val="center"/>
          </w:tcPr>
          <w:p>
            <w:pPr>
              <w:pStyle w:val="TableContents"/>
              <w:bidi w:val="0"/>
              <w:spacing w:before="0" w:after="283"/>
              <w:jc w:val="left"/>
              <w:rPr/>
            </w:pPr>
            <w:r>
              <w:rPr/>
              <w:t> </w:t>
            </w:r>
          </w:p>
        </w:tc>
        <w:tc>
          <w:tcPr>
            <w:tcW w:w="6971" w:type="dxa"/>
            <w:gridSpan w:val="2"/>
            <w:tcBorders/>
            <w:shd w:fill="FFFFFF" w:val="clear"/>
            <w:tcMar>
              <w:bottom w:w="0" w:type="dxa"/>
            </w:tcMar>
            <w:vAlign w:val="center"/>
          </w:tcPr>
          <w:p>
            <w:pPr>
              <w:pStyle w:val="TableContents"/>
              <w:bidi w:val="0"/>
              <w:spacing w:before="0" w:after="283"/>
              <w:jc w:val="left"/>
              <w:rPr/>
            </w:pPr>
            <w:r>
              <w:rPr/>
              <w:t> </w:t>
            </w:r>
          </w:p>
        </w:tc>
        <w:tc>
          <w:tcPr>
            <w:tcW w:w="1811" w:type="dxa"/>
            <w:gridSpan w:val="2"/>
            <w:tcBorders/>
            <w:shd w:fill="FFFFFF" w:val="clear"/>
            <w:tcMar>
              <w:bottom w:w="0" w:type="dxa"/>
            </w:tcMar>
            <w:vAlign w:val="center"/>
          </w:tcPr>
          <w:p>
            <w:pPr>
              <w:pStyle w:val="TableContents"/>
              <w:bidi w:val="0"/>
              <w:spacing w:before="0" w:after="283"/>
              <w:jc w:val="left"/>
              <w:rPr/>
            </w:pPr>
            <w:r>
              <w:rPr/>
              <w:t> </w:t>
            </w:r>
          </w:p>
        </w:tc>
      </w:tr>
      <w:tr>
        <w:trPr/>
        <w:tc>
          <w:tcPr>
            <w:tcW w:w="1423" w:type="dxa"/>
            <w:tcBorders/>
            <w:shd w:fill="FFFFFF" w:val="clear"/>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Chenxi Fang</w:t>
            </w:r>
          </w:p>
          <w:p>
            <w:pPr>
              <w:pStyle w:val="TableContents"/>
              <w:bidi w:val="0"/>
              <w:spacing w:before="0" w:after="0"/>
              <w:ind w:left="240" w:right="0" w:hanging="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Chenxi Fang</w:t>
            </w:r>
          </w:p>
        </w:tc>
        <w:tc>
          <w:tcPr>
            <w:tcW w:w="65" w:type="dxa"/>
            <w:tcBorders/>
            <w:shd w:fill="FFFFFF" w:val="clear"/>
            <w:tcMar>
              <w:bottom w:w="0" w:type="dxa"/>
            </w:tcMar>
            <w:vAlign w:val="center"/>
          </w:tcPr>
          <w:p>
            <w:pPr>
              <w:pStyle w:val="TableContents"/>
              <w:bidi w:val="0"/>
              <w:spacing w:before="0" w:after="283"/>
              <w:jc w:val="left"/>
              <w:rPr/>
            </w:pPr>
            <w:r>
              <w:rPr/>
              <w:t> </w:t>
            </w:r>
          </w:p>
        </w:tc>
        <w:tc>
          <w:tcPr>
            <w:tcW w:w="690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5" w:type="dxa"/>
            <w:tcBorders/>
            <w:shd w:fill="FFFFFF" w:val="clear"/>
            <w:tcMar>
              <w:bottom w:w="0" w:type="dxa"/>
            </w:tcMar>
            <w:vAlign w:val="center"/>
          </w:tcPr>
          <w:p>
            <w:pPr>
              <w:pStyle w:val="TableContents"/>
              <w:bidi w:val="0"/>
              <w:spacing w:before="0" w:after="283"/>
              <w:jc w:val="left"/>
              <w:rPr/>
            </w:pPr>
            <w:r>
              <w:rPr/>
              <w:t> </w:t>
            </w:r>
          </w:p>
        </w:tc>
        <w:tc>
          <w:tcPr>
            <w:tcW w:w="17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tc>
      </w:tr>
      <w:tr>
        <w:trPr/>
        <w:tc>
          <w:tcPr>
            <w:tcW w:w="1423" w:type="dxa"/>
            <w:tcBorders/>
            <w:shd w:fill="FFFFFF" w:val="clear"/>
            <w:tcMar>
              <w:bottom w:w="0" w:type="dxa"/>
            </w:tcMar>
            <w:vAlign w:val="center"/>
          </w:tcPr>
          <w:p>
            <w:pPr>
              <w:pStyle w:val="TableContents"/>
              <w:bidi w:val="0"/>
              <w:spacing w:before="0" w:after="283"/>
              <w:jc w:val="left"/>
              <w:rPr/>
            </w:pPr>
            <w:r>
              <w:rPr/>
              <w:t> </w:t>
            </w:r>
          </w:p>
        </w:tc>
        <w:tc>
          <w:tcPr>
            <w:tcW w:w="6971" w:type="dxa"/>
            <w:gridSpan w:val="2"/>
            <w:tcBorders/>
            <w:shd w:fill="FFFFFF" w:val="clear"/>
            <w:tcMar>
              <w:bottom w:w="0" w:type="dxa"/>
            </w:tcMar>
            <w:vAlign w:val="center"/>
          </w:tcPr>
          <w:p>
            <w:pPr>
              <w:pStyle w:val="TableContents"/>
              <w:bidi w:val="0"/>
              <w:spacing w:before="0" w:after="283"/>
              <w:jc w:val="left"/>
              <w:rPr/>
            </w:pPr>
            <w:r>
              <w:rPr/>
              <w:t> </w:t>
            </w:r>
          </w:p>
        </w:tc>
        <w:tc>
          <w:tcPr>
            <w:tcW w:w="1811" w:type="dxa"/>
            <w:gridSpan w:val="2"/>
            <w:tcBorders/>
            <w:shd w:fill="FFFFFF" w:val="clear"/>
            <w:tcMar>
              <w:bottom w:w="0" w:type="dxa"/>
            </w:tcMar>
            <w:vAlign w:val="center"/>
          </w:tcPr>
          <w:p>
            <w:pPr>
              <w:pStyle w:val="TableContents"/>
              <w:bidi w:val="0"/>
              <w:spacing w:before="0" w:after="283"/>
              <w:jc w:val="left"/>
              <w:rPr/>
            </w:pPr>
            <w:r>
              <w:rPr/>
              <w:t> </w:t>
            </w:r>
          </w:p>
        </w:tc>
      </w:tr>
      <w:tr>
        <w:trPr/>
        <w:tc>
          <w:tcPr>
            <w:tcW w:w="1423" w:type="dxa"/>
            <w:tcBorders/>
            <w:shd w:fill="FFFFFF" w:val="clear"/>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Jian Zhang</w:t>
            </w:r>
          </w:p>
          <w:p>
            <w:pPr>
              <w:pStyle w:val="TableContents"/>
              <w:bidi w:val="0"/>
              <w:spacing w:before="0" w:after="0"/>
              <w:ind w:left="240" w:right="0" w:hanging="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 Zhang</w:t>
            </w:r>
          </w:p>
        </w:tc>
        <w:tc>
          <w:tcPr>
            <w:tcW w:w="65" w:type="dxa"/>
            <w:tcBorders/>
            <w:shd w:fill="FFFFFF" w:val="clear"/>
            <w:tcMar>
              <w:bottom w:w="0" w:type="dxa"/>
            </w:tcMar>
            <w:vAlign w:val="center"/>
          </w:tcPr>
          <w:p>
            <w:pPr>
              <w:pStyle w:val="TableContents"/>
              <w:bidi w:val="0"/>
              <w:spacing w:before="0" w:after="283"/>
              <w:jc w:val="left"/>
              <w:rPr/>
            </w:pPr>
            <w:r>
              <w:rPr/>
              <w:t> </w:t>
            </w:r>
          </w:p>
        </w:tc>
        <w:tc>
          <w:tcPr>
            <w:tcW w:w="690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5" w:type="dxa"/>
            <w:tcBorders/>
            <w:shd w:fill="FFFFFF" w:val="clear"/>
            <w:tcMar>
              <w:bottom w:w="0" w:type="dxa"/>
            </w:tcMar>
            <w:vAlign w:val="center"/>
          </w:tcPr>
          <w:p>
            <w:pPr>
              <w:pStyle w:val="TableContents"/>
              <w:bidi w:val="0"/>
              <w:spacing w:before="0" w:after="283"/>
              <w:jc w:val="left"/>
              <w:rPr/>
            </w:pPr>
            <w:r>
              <w:rPr/>
              <w:t> </w:t>
            </w:r>
          </w:p>
        </w:tc>
        <w:tc>
          <w:tcPr>
            <w:tcW w:w="17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undersigned, the duly authorized representative in the United States of Baosheng Media Group Holdings Limited, has signed this registration statement on its behalf by the undersigned, thereunto duly authorized, in Newark, USA, on September 9, 2026.</w:t>
      </w:r>
    </w:p>
    <w:p>
      <w:pPr>
        <w:pStyle w:val="TextBody"/>
        <w:bidi w:val="0"/>
        <w:spacing w:before="0" w:after="0"/>
        <w:ind w:left="0" w:right="0" w:hanging="0"/>
        <w:jc w:val="left"/>
        <w:rPr>
          <w:caps w:val="false"/>
          <w:smallCaps w:val="false"/>
        </w:rPr>
      </w:pPr>
      <w:r>
        <w:rPr>
          <w:caps w:val="false"/>
          <w:smallCaps w:val="false"/>
        </w:rPr>
        <w:t> </w:t>
      </w:r>
    </w:p>
    <w:tbl>
      <w:tblPr>
        <w:tblW w:w="2370" w:type="dxa"/>
        <w:jc w:val="left"/>
        <w:tblInd w:w="0" w:type="dxa"/>
        <w:tblLayout w:type="fixed"/>
        <w:tblCellMar>
          <w:top w:w="0" w:type="dxa"/>
          <w:left w:w="0" w:type="dxa"/>
          <w:bottom w:w="0" w:type="dxa"/>
          <w:right w:w="0" w:type="dxa"/>
        </w:tblCellMar>
      </w:tblPr>
      <w:tblGrid>
        <w:gridCol w:w="80"/>
        <w:gridCol w:w="590"/>
        <w:gridCol w:w="1700"/>
      </w:tblGrid>
      <w:tr>
        <w:trPr/>
        <w:tc>
          <w:tcPr>
            <w:tcW w:w="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By: </w:t>
            </w:r>
          </w:p>
        </w:tc>
        <w:tc>
          <w:tcPr>
            <w:tcW w:w="17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Donald J. Puglisi</w:t>
            </w:r>
          </w:p>
        </w:tc>
      </w:tr>
      <w:tr>
        <w:trPr/>
        <w:tc>
          <w:tcPr>
            <w:tcW w:w="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Name: </w:t>
            </w:r>
          </w:p>
        </w:tc>
        <w:tc>
          <w:tcPr>
            <w:tcW w:w="170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Donald J. Puglisi</w:t>
            </w:r>
          </w:p>
        </w:tc>
      </w:tr>
      <w:tr>
        <w:trPr/>
        <w:tc>
          <w:tcPr>
            <w:tcW w:w="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tm2624270d1_ex5-1.htm"/>
      <w:bookmarkStart w:id="24" w:name="kstm2624270d1_ex51"/>
      <w:bookmarkEnd w:id="23"/>
      <w:bookmarkEnd w:id="24"/>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220" w:right="0" w:hanging="0"/>
        <w:jc w:val="right"/>
        <w:rPr>
          <w:caps w:val="false"/>
          <w:smallCaps w:val="false"/>
        </w:rPr>
      </w:pPr>
      <w:r>
        <w:rPr>
          <w:caps w:val="false"/>
          <w:smallCaps w:val="false"/>
        </w:rPr>
        <w:drawing>
          <wp:inline distT="0" distB="0" distL="0" distR="0">
            <wp:extent cx="1885950" cy="37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2"/>
                    <a:stretch>
                      <a:fillRect/>
                    </a:stretch>
                  </pic:blipFill>
                  <pic:spPr bwMode="auto">
                    <a:xfrm>
                      <a:off x="0" y="0"/>
                      <a:ext cx="1885950" cy="371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992"/>
        <w:gridCol w:w="3138"/>
      </w:tblGrid>
      <w:tr>
        <w:trPr/>
        <w:tc>
          <w:tcPr>
            <w:tcW w:w="75"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jc w:val="left"/>
              <w:rPr/>
            </w:pPr>
            <w:r>
              <w:rPr>
                <w:b/>
                <w:sz w:val="20"/>
              </w:rPr>
              <w:t xml:space="preserve">BAOSHENG MEDIA GROUP </w:t>
              <w:br/>
              <w:t xml:space="preserve">HOLDINGS LIMITED </w:t>
            </w:r>
            <w:r>
              <w:rPr>
                <w:rFonts w:eastAsia="Times New Roman;Times;Serif"/>
                <w:b/>
                <w:sz w:val="20"/>
              </w:rPr>
              <w:t>宝盛传媒集团控股有限公司</w:t>
            </w:r>
          </w:p>
          <w:p>
            <w:pPr>
              <w:pStyle w:val="TableContents"/>
              <w:bidi w:val="0"/>
              <w:jc w:val="left"/>
              <w:rPr/>
            </w:pPr>
            <w:r>
              <w:rPr/>
              <w:t>4th Floor, Harbour Place, 103 South Church Street, P.O. Box 10240, Grand Cayman KY1-1002, Cayman Islands</w:t>
            </w:r>
          </w:p>
          <w:p>
            <w:pPr>
              <w:pStyle w:val="TableContents"/>
              <w:bidi w:val="0"/>
              <w:jc w:val="left"/>
              <w:rPr/>
            </w:pPr>
            <w:r>
              <w:rPr/>
              <w:t> </w:t>
            </w:r>
          </w:p>
          <w:p>
            <w:pPr>
              <w:pStyle w:val="TableContents"/>
              <w:bidi w:val="0"/>
              <w:spacing w:before="0" w:after="283"/>
              <w:jc w:val="left"/>
              <w:rPr>
                <w:sz w:val="20"/>
              </w:rPr>
            </w:pPr>
            <w:r>
              <w:rPr>
                <w:b/>
                <w:sz w:val="20"/>
              </w:rPr>
              <w:t>Attn:</w:t>
            </w:r>
            <w:r>
              <w:rPr>
                <w:sz w:val="20"/>
              </w:rPr>
              <w:t xml:space="preserve"> The Board of Directors</w:t>
            </w:r>
          </w:p>
        </w:tc>
        <w:tc>
          <w:tcPr>
            <w:tcW w:w="3138" w:type="dxa"/>
            <w:tcBorders/>
            <w:vAlign w:val="center"/>
          </w:tcPr>
          <w:p>
            <w:pPr>
              <w:pStyle w:val="TableContents"/>
              <w:bidi w:val="0"/>
              <w:jc w:val="right"/>
              <w:rPr/>
            </w:pPr>
            <w:r>
              <w:rPr/>
              <w:t>Email dbulley@applebyglobal.com</w:t>
            </w:r>
          </w:p>
          <w:p>
            <w:pPr>
              <w:pStyle w:val="TableContents"/>
              <w:bidi w:val="0"/>
              <w:jc w:val="right"/>
              <w:rPr/>
            </w:pPr>
            <w:r>
              <w:rPr/>
              <w:t> </w:t>
            </w:r>
          </w:p>
          <w:p>
            <w:pPr>
              <w:pStyle w:val="TableContents"/>
              <w:bidi w:val="0"/>
              <w:jc w:val="right"/>
              <w:rPr/>
            </w:pPr>
            <w:r>
              <w:rPr/>
              <w:t>Direct Dial +852 2905 5770</w:t>
            </w:r>
          </w:p>
          <w:p>
            <w:pPr>
              <w:pStyle w:val="TableContents"/>
              <w:bidi w:val="0"/>
              <w:jc w:val="right"/>
              <w:rPr/>
            </w:pPr>
            <w:r>
              <w:rPr/>
              <w:t>Tel +852 2523 8123</w:t>
            </w:r>
          </w:p>
          <w:p>
            <w:pPr>
              <w:pStyle w:val="TableContents"/>
              <w:bidi w:val="0"/>
              <w:jc w:val="right"/>
              <w:rPr/>
            </w:pPr>
            <w:r>
              <w:rPr/>
              <w:t> </w:t>
            </w:r>
          </w:p>
          <w:p>
            <w:pPr>
              <w:pStyle w:val="TableContents"/>
              <w:bidi w:val="0"/>
              <w:jc w:val="right"/>
              <w:rPr/>
            </w:pPr>
            <w:r>
              <w:rPr>
                <w:b/>
              </w:rPr>
              <w:t>Appleby Ref</w:t>
            </w:r>
            <w:r>
              <w:rPr/>
              <w:t xml:space="preserve"> 475607.0002</w:t>
            </w:r>
          </w:p>
          <w:p>
            <w:pPr>
              <w:pStyle w:val="TableContents"/>
              <w:bidi w:val="0"/>
              <w:jc w:val="right"/>
              <w:rPr/>
            </w:pPr>
            <w:r>
              <w:rPr/>
              <w:t> </w:t>
            </w:r>
          </w:p>
          <w:p>
            <w:pPr>
              <w:pStyle w:val="TableContents"/>
              <w:bidi w:val="0"/>
              <w:spacing w:before="0" w:after="283"/>
              <w:jc w:val="right"/>
              <w:rPr/>
            </w:pPr>
            <w:r>
              <w:rPr/>
              <w:t>9 September 2026</w:t>
            </w:r>
          </w:p>
        </w:tc>
      </w:tr>
    </w:tbl>
    <w:p>
      <w:pPr>
        <w:pStyle w:val="TextBody"/>
        <w:bidi w:val="0"/>
        <w:spacing w:before="0" w:after="0"/>
        <w:ind w:left="0" w:right="0" w:hanging="0"/>
        <w:jc w:val="left"/>
        <w:rPr>
          <w:caps w:val="false"/>
          <w:smallCaps w:val="false"/>
        </w:rPr>
      </w:pPr>
      <w:r>
        <w:rPr>
          <w:caps w:val="false"/>
          <w:smallCaps w:val="false"/>
        </w:rPr>
        <w:t> </w:t>
      </w:r>
    </w:p>
    <w:tbl>
      <w:tblPr>
        <w:tblW w:w="830" w:type="dxa"/>
        <w:jc w:val="left"/>
        <w:tblInd w:w="0" w:type="dxa"/>
        <w:tblLayout w:type="fixed"/>
        <w:tblCellMar>
          <w:top w:w="0" w:type="dxa"/>
          <w:left w:w="0" w:type="dxa"/>
          <w:bottom w:w="0" w:type="dxa"/>
          <w:right w:w="0" w:type="dxa"/>
        </w:tblCellMar>
      </w:tblPr>
      <w:tblGrid>
        <w:gridCol w:w="75"/>
        <w:gridCol w:w="755"/>
      </w:tblGrid>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Dear Sirs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7"/>
        <w:gridCol w:w="60"/>
        <w:gridCol w:w="8458"/>
      </w:tblGrid>
      <w:tr>
        <w:trPr/>
        <w:tc>
          <w:tcPr>
            <w:tcW w:w="1687"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Suites 3504B-06</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35/F, Two Taikoo Place</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 King’s Road</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Quarry Bay</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ableContents"/>
              <w:bidi w:val="0"/>
              <w:spacing w:before="0" w:after="0"/>
              <w:jc w:val="right"/>
              <w:rPr>
                <w:caps w:val="false"/>
                <w:smallCaps w:val="false"/>
              </w:rPr>
            </w:pPr>
            <w:r>
              <w:rPr>
                <w:caps w:val="false"/>
                <w:smallCaps w:val="false"/>
              </w:rPr>
              <w:t> </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2523 8123</w:t>
            </w:r>
          </w:p>
          <w:p>
            <w:pPr>
              <w:pStyle w:val="TableContents"/>
              <w:bidi w:val="0"/>
              <w:spacing w:before="0" w:after="0"/>
              <w:jc w:val="right"/>
              <w:rPr>
                <w:caps w:val="false"/>
                <w:smallCaps w:val="false"/>
              </w:rPr>
            </w:pPr>
            <w:r>
              <w:rPr>
                <w:caps w:val="false"/>
                <w:smallCaps w:val="false"/>
              </w:rPr>
              <w:t> </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applebyglobal.com </w:t>
            </w:r>
          </w:p>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Managing Partner</w:t>
            </w:r>
            <w:r>
              <w:rPr>
                <w:rFonts w:ascii="Times New Roman;Times;Serif" w:hAnsi="Times New Roman;Times;Serif"/>
                <w:b w:val="false"/>
                <w:i w:val="false"/>
                <w:caps w:val="false"/>
                <w:smallCaps w:val="false"/>
                <w:sz w:val="20"/>
              </w:rPr>
              <w:t xml:space="preserve"> </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Bulley  </w:t>
            </w:r>
          </w:p>
          <w:p>
            <w:pPr>
              <w:pStyle w:val="TableContents"/>
              <w:bidi w:val="0"/>
              <w:spacing w:before="0" w:after="0"/>
              <w:jc w:val="right"/>
              <w:rPr>
                <w:caps w:val="false"/>
                <w:smallCaps w:val="false"/>
              </w:rPr>
            </w:pPr>
            <w:r>
              <w:rPr>
                <w:caps w:val="false"/>
                <w:smallCaps w:val="false"/>
              </w:rPr>
              <w:t> </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Fiona Chan</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Kitty Chan</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Vincent Chan</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 Cheng</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Richard Grasby</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Judy Lee</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Makridakis</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McCarroll SC</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Lorinda Peasland</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Eliot Simpson</w:t>
            </w:r>
          </w:p>
        </w:tc>
        <w:tc>
          <w:tcPr>
            <w:tcW w:w="60" w:type="dxa"/>
            <w:tcBorders/>
            <w:vAlign w:val="center"/>
          </w:tcPr>
          <w:p>
            <w:pPr>
              <w:pStyle w:val="TableContents"/>
              <w:bidi w:val="0"/>
              <w:spacing w:before="0" w:after="283"/>
              <w:jc w:val="left"/>
              <w:rPr/>
            </w:pPr>
            <w:r>
              <w:rPr/>
              <w:t> </w:t>
            </w:r>
          </w:p>
        </w:tc>
        <w:tc>
          <w:tcPr>
            <w:tcW w:w="8458" w:type="dxa"/>
            <w:tcBorders/>
            <w:vAlign w:val="center"/>
          </w:tcPr>
          <w:p>
            <w:pPr>
              <w:pStyle w:val="TableContents"/>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 xml:space="preserve">BAOSHENG MEDIA GROUP HOLDINGS LIMITED </w:t>
            </w:r>
            <w:r>
              <w:rPr>
                <w:rFonts w:eastAsia="Times New Roman;Times;Serif"/>
                <w:b/>
                <w:i w:val="false"/>
                <w:caps w:val="false"/>
                <w:smallCaps w:val="false"/>
                <w:sz w:val="20"/>
              </w:rPr>
              <w:t>宝盛传媒集团控股有限公司</w:t>
            </w:r>
            <w:r>
              <w:rPr>
                <w:rFonts w:ascii="Times New Roman;Times;Serif" w:hAnsi="Times New Roman;Times;Serif"/>
                <w:b/>
                <w:i w:val="false"/>
                <w:caps w:val="false"/>
                <w:smallCaps w:val="false"/>
                <w:sz w:val="20"/>
              </w:rPr>
              <w:t xml:space="preserve">(Company)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act as counsel as to Cayman Islands law to the Company, and this legal opinion as to Cayman Islands law is addressed to you in connection with the Company’s filing of a registration statement on Form F-3 pursuant to the Securities Act of 1933 of the United States of America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which term does not include any other document or agreement whether or not specifically referred to therein or attached as an exhibit or schedule thereto)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in relation to the resale, from time to time, by the selling shareholders identified in the Registration Statement (collectively, the </w:t>
            </w:r>
            <w:r>
              <w:rPr>
                <w:rFonts w:ascii="Times New Roman;Times;Serif" w:hAnsi="Times New Roman;Times;Serif"/>
                <w:b/>
                <w:i w:val="false"/>
                <w:caps w:val="false"/>
                <w:smallCaps w:val="false"/>
                <w:sz w:val="20"/>
              </w:rPr>
              <w:t>Selling Shareholders</w:t>
            </w:r>
            <w:r>
              <w:rPr>
                <w:rFonts w:ascii="Times New Roman;Times;Serif" w:hAnsi="Times New Roman;Times;Serif"/>
                <w:b w:val="false"/>
                <w:i w:val="false"/>
                <w:caps w:val="false"/>
                <w:smallCaps w:val="false"/>
                <w:sz w:val="20"/>
              </w:rPr>
              <w:t xml:space="preserve">) of up to an aggregate of 25,000,000 ordinary shares, par value US$0.0096 per share, of the Company (the </w:t>
            </w:r>
            <w:r>
              <w:rPr>
                <w:rFonts w:ascii="Times New Roman;Times;Serif" w:hAnsi="Times New Roman;Times;Serif"/>
                <w:b/>
                <w:i w:val="false"/>
                <w:caps w:val="false"/>
                <w:smallCaps w:val="false"/>
                <w:sz w:val="20"/>
              </w:rPr>
              <w:t>Resale Shares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and 23.2 to the Registration Statement.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REVIEW</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and relied upon the Documents and the documents listed in Schedule 1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We have not examined any other documents, even if they are referred to in the Documents.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made any other enquiries concerning the Company and in particular we have not investigated or verified any matter of fact or opinion (whether set out in any of the Documents or elsewhere) other than as expressly stated in this opinion.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defined herein, capitalized terms have the meanings assigned to them in Schedule 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and should be construed in accordance with, the laws of the Cayman Islands at the date of this opinion. We express no opinion on the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stated in it and does not extend, and is not to be extended by implication, to any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 AND RESERVATIONS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give the following opinions on the basis of the assumptions set out in Schedule 2 (</w:t>
      </w:r>
      <w:r>
        <w:rPr>
          <w:rFonts w:ascii="Times New Roman;Times;Serif" w:hAnsi="Times New Roman;Times;Serif"/>
          <w:b/>
          <w:i w:val="false"/>
          <w:caps w:val="false"/>
          <w:smallCaps w:val="false"/>
          <w:sz w:val="20"/>
        </w:rPr>
        <w:t>Assumptions</w:t>
      </w:r>
      <w:r>
        <w:rPr>
          <w:rFonts w:ascii="Times New Roman;Times;Serif" w:hAnsi="Times New Roman;Times;Serif"/>
          <w:b w:val="false"/>
          <w:i w:val="false"/>
          <w:caps w:val="false"/>
          <w:smallCaps w:val="false"/>
          <w:sz w:val="20"/>
        </w:rPr>
        <w:t>), which we have not verified, and subject to the reservations set out in Schedule 3 (</w:t>
      </w:r>
      <w:r>
        <w:rPr>
          <w:rFonts w:ascii="Times New Roman;Times;Serif" w:hAnsi="Times New Roman;Times;Serif"/>
          <w:b/>
          <w:i w:val="false"/>
          <w:caps w:val="false"/>
          <w:smallCaps w:val="false"/>
          <w:sz w:val="20"/>
        </w:rPr>
        <w:t>Reservations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1.</w:t>
            </w:r>
          </w:p>
        </w:tc>
        <w:tc>
          <w:tcPr>
            <w:tcW w:w="10003" w:type="dxa"/>
            <w:tcBorders/>
            <w:vAlign w:val="center"/>
          </w:tcPr>
          <w:p>
            <w:pPr>
              <w:pStyle w:val="TableContents"/>
              <w:bidi w:val="0"/>
              <w:spacing w:before="0" w:after="283"/>
              <w:jc w:val="both"/>
              <w:rPr/>
            </w:pPr>
            <w:r>
              <w:rPr>
                <w:b/>
              </w:rPr>
              <w:t>Authorized Share Capital</w:t>
            </w:r>
            <w:r>
              <w:rPr/>
              <w:t>: Base solely on our review of the Constitutional Documents, the authorized share capital of the Company is US$9,600,000 divided into 1,000,000,000 ordinary shares of a par value US$0.0096 each.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2.</w:t>
            </w:r>
          </w:p>
        </w:tc>
        <w:tc>
          <w:tcPr>
            <w:tcW w:w="10021" w:type="dxa"/>
            <w:tcBorders/>
            <w:vAlign w:val="center"/>
          </w:tcPr>
          <w:p>
            <w:pPr>
              <w:pStyle w:val="TableContents"/>
              <w:bidi w:val="0"/>
              <w:spacing w:before="0" w:after="283"/>
              <w:jc w:val="both"/>
              <w:rPr/>
            </w:pPr>
            <w:r>
              <w:rPr>
                <w:b/>
              </w:rPr>
              <w:t>Issue of Resale Shares</w:t>
            </w:r>
            <w:r>
              <w:rPr/>
              <w:t>: The Resale Shares held by the Selling Shareholders have been duly authorized, validly issued, fully paid and non-assessable under the Resolutions, provided that no winding-up order is made by any court of the Cayman Islands in relation to the Winding-up Proceeding (as defined in Schedule 2), or a validation order in relation to the issuance of the Resale Shares by the Company to the Selling Shareholders and the sale and transfer of the Resale Shares by the Selling Shareholders is obtained. The reference in this opinion to such Resale Shares being non-assessable shall mean solely that no further sums of money are required to be paid by the holders of such Resale Shares in connection with the issuance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b/>
              </w:rPr>
            </w:pPr>
            <w:r>
              <w:rPr>
                <w:b/>
              </w:rPr>
              <w:t>3.</w:t>
            </w:r>
          </w:p>
        </w:tc>
        <w:tc>
          <w:tcPr>
            <w:tcW w:w="10014" w:type="dxa"/>
            <w:tcBorders/>
            <w:vAlign w:val="center"/>
          </w:tcPr>
          <w:p>
            <w:pPr>
              <w:pStyle w:val="TableContents"/>
              <w:bidi w:val="0"/>
              <w:spacing w:before="0" w:after="283"/>
              <w:jc w:val="both"/>
              <w:rPr/>
            </w:pPr>
            <w:r>
              <w:rPr>
                <w:b/>
              </w:rPr>
              <w:t xml:space="preserve">Disclosure in offering documents: </w:t>
            </w:r>
            <w:r>
              <w:rPr/>
              <w:t>The statements under the headings “Enforceability of Civil Liabilities” and “Description of Share Capital” in the prospectus forming part of the Registration Statement, insofar as such statements constitute statements of Cayman Islands law and only to the extent governed by the laws of the Cayman Islands, are accurate in all material respects.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headings “Enforceability of Civil Liabilities” and “Legal Matters” in the prospectus included in the Registration Statement. In providing our consent, we do not thereby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tbl>
      <w:tblPr>
        <w:tblW w:w="1055" w:type="dxa"/>
        <w:jc w:val="left"/>
        <w:tblInd w:w="0" w:type="dxa"/>
        <w:tblLayout w:type="fixed"/>
        <w:tblCellMar>
          <w:top w:w="0" w:type="dxa"/>
          <w:left w:w="0" w:type="dxa"/>
          <w:bottom w:w="0" w:type="dxa"/>
          <w:right w:w="0" w:type="dxa"/>
        </w:tblCellMar>
      </w:tblPr>
      <w:tblGrid>
        <w:gridCol w:w="980"/>
        <w:gridCol w:w="75"/>
      </w:tblGrid>
      <w:tr>
        <w:trPr/>
        <w:tc>
          <w:tcPr>
            <w:tcW w:w="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Appleby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Examined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1.</w:t>
            </w:r>
          </w:p>
        </w:tc>
        <w:tc>
          <w:tcPr>
            <w:tcW w:w="9979" w:type="dxa"/>
            <w:tcBorders/>
            <w:vAlign w:val="center"/>
          </w:tcPr>
          <w:p>
            <w:pPr>
              <w:pStyle w:val="TableContents"/>
              <w:bidi w:val="0"/>
              <w:spacing w:before="0" w:after="283"/>
              <w:jc w:val="both"/>
              <w:rPr/>
            </w:pPr>
            <w:r>
              <w:rPr/>
              <w:t>A scanned copy of the certificate of incorporation of the Company dated 4 December 2018 (</w:t>
            </w:r>
            <w:r>
              <w:rPr>
                <w:b/>
              </w:rPr>
              <w:t>Certificate of Incorporation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53"/>
        <w:gridCol w:w="9904"/>
      </w:tblGrid>
      <w:tr>
        <w:trPr/>
        <w:tc>
          <w:tcPr>
            <w:tcW w:w="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2.</w:t>
            </w:r>
          </w:p>
        </w:tc>
        <w:tc>
          <w:tcPr>
            <w:tcW w:w="9904" w:type="dxa"/>
            <w:tcBorders/>
            <w:vAlign w:val="center"/>
          </w:tcPr>
          <w:p>
            <w:pPr>
              <w:pStyle w:val="TableContents"/>
              <w:bidi w:val="0"/>
              <w:spacing w:before="0" w:after="283"/>
              <w:jc w:val="both"/>
              <w:rPr/>
            </w:pPr>
            <w:r>
              <w:rPr/>
              <w:t>A scanned copy of the list of shareholders of the Company dated 31 August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3.</w:t>
            </w:r>
          </w:p>
        </w:tc>
        <w:tc>
          <w:tcPr>
            <w:tcW w:w="10015" w:type="dxa"/>
            <w:tcBorders/>
            <w:vAlign w:val="center"/>
          </w:tcPr>
          <w:p>
            <w:pPr>
              <w:pStyle w:val="TableContents"/>
              <w:bidi w:val="0"/>
              <w:spacing w:before="0" w:after="283"/>
              <w:jc w:val="both"/>
              <w:rPr/>
            </w:pPr>
            <w:r>
              <w:rPr/>
              <w:t xml:space="preserve">Scanned copies of (i) the amended and restated memorandum of association and articles of association of the Company adopted by a special resolution passed on 20 July 2020 and effective on 10 February 2021 and (ii) a stamped copy the minutes of the 2023 extraordinary general meeting of the shareholders held on 28 September 2023 to approve the relevant share capital increase (the </w:t>
            </w:r>
            <w:r>
              <w:rPr>
                <w:b/>
              </w:rPr>
              <w:t>Constitutional Documents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4.</w:t>
            </w:r>
          </w:p>
        </w:tc>
        <w:tc>
          <w:tcPr>
            <w:tcW w:w="10005" w:type="dxa"/>
            <w:tcBorders/>
            <w:vAlign w:val="center"/>
          </w:tcPr>
          <w:p>
            <w:pPr>
              <w:pStyle w:val="TableContents"/>
              <w:bidi w:val="0"/>
              <w:spacing w:before="0" w:after="283"/>
              <w:jc w:val="both"/>
              <w:rPr/>
            </w:pPr>
            <w:r>
              <w:rPr/>
              <w:t xml:space="preserve">A scanned copy of the written resolutions signed by all of the directors of the Company dated 5 June 2026 and a scanned copy of the written resolutions signed by all of the directors of the Company dated 3 September 2026 (the </w:t>
            </w:r>
            <w:r>
              <w:rPr>
                <w:b/>
              </w:rPr>
              <w:t>Resolutions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5.</w:t>
            </w:r>
          </w:p>
        </w:tc>
        <w:tc>
          <w:tcPr>
            <w:tcW w:w="9985" w:type="dxa"/>
            <w:tcBorders/>
            <w:vAlign w:val="center"/>
          </w:tcPr>
          <w:p>
            <w:pPr>
              <w:pStyle w:val="TableContents"/>
              <w:bidi w:val="0"/>
              <w:spacing w:before="0" w:after="283"/>
              <w:jc w:val="both"/>
              <w:rPr/>
            </w:pPr>
            <w:r>
              <w:rPr/>
              <w:t>A scanned copy of the register of directors and officers of the Company provided on 11 August 2026 (</w:t>
            </w:r>
            <w:r>
              <w:rPr>
                <w:b/>
              </w:rPr>
              <w:t>Register of Directors and Officers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60"/>
        <w:gridCol w:w="9896"/>
      </w:tblGrid>
      <w:tr>
        <w:trPr/>
        <w:tc>
          <w:tcPr>
            <w:tcW w:w="4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6.</w:t>
            </w:r>
          </w:p>
        </w:tc>
        <w:tc>
          <w:tcPr>
            <w:tcW w:w="9896" w:type="dxa"/>
            <w:tcBorders/>
            <w:vAlign w:val="center"/>
          </w:tcPr>
          <w:p>
            <w:pPr>
              <w:pStyle w:val="TableContents"/>
              <w:bidi w:val="0"/>
              <w:spacing w:before="0" w:after="283"/>
              <w:jc w:val="both"/>
              <w:rPr/>
            </w:pPr>
            <w:r>
              <w:rPr/>
              <w:t>A copy of the latest draft Registration Statement provided on 9 September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1.</w:t>
            </w:r>
          </w:p>
        </w:tc>
        <w:tc>
          <w:tcPr>
            <w:tcW w:w="10005" w:type="dxa"/>
            <w:tcBorders/>
            <w:vAlign w:val="center"/>
          </w:tcPr>
          <w:p>
            <w:pPr>
              <w:pStyle w:val="TableContents"/>
              <w:bidi w:val="0"/>
              <w:spacing w:before="0" w:after="283"/>
              <w:jc w:val="both"/>
              <w:rPr/>
            </w:pPr>
            <w:r>
              <w:rPr/>
              <w:t>(i) that the originals of all documents examined in connection with this opinion are authentic, accurate and complete; and (ii) the authenticity, accuracy, completeness and conformity to original documents of all documents submitted to us as copies;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2.</w:t>
            </w:r>
          </w:p>
        </w:tc>
        <w:tc>
          <w:tcPr>
            <w:tcW w:w="10002" w:type="dxa"/>
            <w:tcBorders/>
            <w:vAlign w:val="center"/>
          </w:tcPr>
          <w:p>
            <w:pPr>
              <w:pStyle w:val="TableContents"/>
              <w:bidi w:val="0"/>
              <w:spacing w:before="0" w:after="283"/>
              <w:jc w:val="both"/>
              <w:rPr/>
            </w:pPr>
            <w:r>
              <w:rPr/>
              <w:t>that there has been no change to the information contained in the Certificate of Incorporation or the Register of Directors and Officers and that the Constitutional Documents remain in full force and effect and are unamended;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3.</w:t>
            </w:r>
          </w:p>
        </w:tc>
        <w:tc>
          <w:tcPr>
            <w:tcW w:w="9985" w:type="dxa"/>
            <w:tcBorders/>
            <w:vAlign w:val="center"/>
          </w:tcPr>
          <w:p>
            <w:pPr>
              <w:pStyle w:val="TableContents"/>
              <w:bidi w:val="0"/>
              <w:spacing w:before="0" w:after="283"/>
              <w:jc w:val="both"/>
              <w:rPr/>
            </w:pPr>
            <w:r>
              <w:rPr/>
              <w:t>that the signatures, initials and seals on all documents and certificates submitted to us as originals or copies of executed originals are authentic;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that where incomplete documents, drafts or signature pages only have been supplied to us for the purposes of issuing this opinion, the original documents have been duly completed and correspond in all material respects with the last version of the relevant documents examined by us prior to giving our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5.</w:t>
            </w:r>
          </w:p>
        </w:tc>
        <w:tc>
          <w:tcPr>
            <w:tcW w:w="9987" w:type="dxa"/>
            <w:tcBorders/>
            <w:vAlign w:val="center"/>
          </w:tcPr>
          <w:p>
            <w:pPr>
              <w:pStyle w:val="TableContents"/>
              <w:bidi w:val="0"/>
              <w:spacing w:before="0" w:after="283"/>
              <w:jc w:val="both"/>
              <w:rPr/>
            </w:pPr>
            <w:r>
              <w:rPr/>
              <w:t>that the Document does not differ in any material respects from any draft of the same which we have examined and upon which this opinion is based;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6.</w:t>
            </w:r>
          </w:p>
        </w:tc>
        <w:tc>
          <w:tcPr>
            <w:tcW w:w="9992" w:type="dxa"/>
            <w:tcBorders/>
            <w:vAlign w:val="center"/>
          </w:tcPr>
          <w:p>
            <w:pPr>
              <w:pStyle w:val="TableContents"/>
              <w:bidi w:val="0"/>
              <w:spacing w:before="0" w:after="283"/>
              <w:jc w:val="both"/>
              <w:rPr/>
            </w:pPr>
            <w:r>
              <w:rPr/>
              <w:t>that none of the Company’s directors or its registered office has received any notice of any litigation or threatened litigation to which the Company is or may be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7.</w:t>
            </w:r>
          </w:p>
        </w:tc>
        <w:tc>
          <w:tcPr>
            <w:tcW w:w="10014" w:type="dxa"/>
            <w:tcBorders/>
            <w:vAlign w:val="center"/>
          </w:tcPr>
          <w:p>
            <w:pPr>
              <w:pStyle w:val="TableContents"/>
              <w:bidi w:val="0"/>
              <w:spacing w:before="0" w:after="283"/>
              <w:jc w:val="both"/>
              <w:rPr/>
            </w:pPr>
            <w:r>
              <w:rPr/>
              <w:t>that the Company has not (i) received notice of any stop notice under Order 50 of the Grand Court Rules in respect of any of its shares or (ii) received notice of any restrictions notice under the Beneficial Ownership Transparency Act (as amended) of the Cayman Islands in respect of any of its shares, which restrictions notice has not been withdrawn by the registered office or ceased by court order;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8.</w:t>
            </w:r>
          </w:p>
        </w:tc>
        <w:tc>
          <w:tcPr>
            <w:tcW w:w="10021" w:type="dxa"/>
            <w:tcBorders/>
            <w:vAlign w:val="center"/>
          </w:tcPr>
          <w:p>
            <w:pPr>
              <w:pStyle w:val="TableContents"/>
              <w:bidi w:val="0"/>
              <w:spacing w:before="0" w:after="283"/>
              <w:jc w:val="both"/>
              <w:rPr/>
            </w:pPr>
            <w:r>
              <w:rPr/>
              <w:t>that (i) any meetings at which the Resolutions were passed were duly convened and had a duly constituted quorum present and voting throughout and any Resolutions passed in writing were adopted in accordance with the law and the Constitutional Documents, (ii) all interests of the directors of the Company on the subject matter of the Resolutions, if any, were declared and disclosed in accordance with the law and Constitutional Documents, (iii) the Resolutions have not been revoked, amended or superseded, in whole or in part, and remain in full force and effect at the date of this opinion, and (iv) the directors of the Company have concluded that the transactions approved by the Resolutions are </w:t>
            </w:r>
            <w:r>
              <w:rPr>
                <w:i/>
              </w:rPr>
              <w:t>bona fide</w:t>
            </w:r>
            <w:r>
              <w:rPr/>
              <w:t> in the best interests of the Company and for a proper purpose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9.</w:t>
            </w:r>
          </w:p>
        </w:tc>
        <w:tc>
          <w:tcPr>
            <w:tcW w:w="10000" w:type="dxa"/>
            <w:tcBorders/>
            <w:vAlign w:val="center"/>
          </w:tcPr>
          <w:p>
            <w:pPr>
              <w:pStyle w:val="TableContents"/>
              <w:bidi w:val="0"/>
              <w:spacing w:before="0" w:after="283"/>
              <w:jc w:val="both"/>
              <w:rPr/>
            </w:pPr>
            <w:r>
              <w:rPr/>
              <w:t>that the Register of Directors and Officers accurately reflects the names of all directors and officers of the Company as at the dates the Resolutions were passed or adopted and as at the date of this opinion;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10.</w:t>
            </w:r>
          </w:p>
        </w:tc>
        <w:tc>
          <w:tcPr>
            <w:tcW w:w="9896" w:type="dxa"/>
            <w:tcBorders/>
            <w:vAlign w:val="center"/>
          </w:tcPr>
          <w:p>
            <w:pPr>
              <w:pStyle w:val="TableContents"/>
              <w:bidi w:val="0"/>
              <w:spacing w:before="0" w:after="283"/>
              <w:jc w:val="both"/>
              <w:rPr/>
            </w:pPr>
            <w:r>
              <w:rPr/>
              <w:t>that there are no records of the Company, agreements, documents or arrangements other than the Constitutional Documents, the Resolutions and the documents expressly referred to herein as having been examined by us which materially affect, amend or vary the transactions contemplated in the Documents or restrict the powers and authority of the directors of the Company in any way which would affect opinions expressed 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11.</w:t>
            </w:r>
          </w:p>
        </w:tc>
        <w:tc>
          <w:tcPr>
            <w:tcW w:w="9895" w:type="dxa"/>
            <w:tcBorders/>
            <w:vAlign w:val="center"/>
          </w:tcPr>
          <w:p>
            <w:pPr>
              <w:pStyle w:val="TableContents"/>
              <w:bidi w:val="0"/>
              <w:spacing w:before="0" w:after="283"/>
              <w:jc w:val="both"/>
              <w:rPr/>
            </w:pPr>
            <w:r>
              <w:rPr/>
              <w:t xml:space="preserve">that the proceeding in relation to the winding-up petition filed by Orient Plus International Limited on 10 April 2024 at the Grand Court of the Cayman Islands seeking an order that the Company be wound up pursuant to section 92(e) of the Companies Act (the </w:t>
            </w:r>
            <w:r>
              <w:rPr>
                <w:b/>
              </w:rPr>
              <w:t>Winding-up Proceeding</w:t>
            </w:r>
            <w:r>
              <w:rPr/>
              <w:t>) will be withdrawn or determined in favor of the Company and no winding-up order will be made against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6"/>
        <w:gridCol w:w="9872"/>
      </w:tblGrid>
      <w:tr>
        <w:trPr/>
        <w:tc>
          <w:tcPr>
            <w:tcW w:w="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12.</w:t>
            </w:r>
          </w:p>
        </w:tc>
        <w:tc>
          <w:tcPr>
            <w:tcW w:w="9872" w:type="dxa"/>
            <w:tcBorders/>
            <w:vAlign w:val="center"/>
          </w:tcPr>
          <w:p>
            <w:pPr>
              <w:pStyle w:val="TableContents"/>
              <w:bidi w:val="0"/>
              <w:spacing w:before="0" w:after="283"/>
              <w:jc w:val="both"/>
              <w:rPr/>
            </w:pPr>
            <w:r>
              <w:rPr/>
              <w:t>that no invitation has been or will be made by or on behalf of the Company to the public in the Cayman Islands to subscribe for or purchase any of the Resale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13.</w:t>
            </w:r>
          </w:p>
        </w:tc>
        <w:tc>
          <w:tcPr>
            <w:tcW w:w="9881" w:type="dxa"/>
            <w:tcBorders/>
            <w:vAlign w:val="center"/>
          </w:tcPr>
          <w:p>
            <w:pPr>
              <w:pStyle w:val="TableContents"/>
              <w:bidi w:val="0"/>
              <w:spacing w:before="0" w:after="283"/>
              <w:jc w:val="both"/>
              <w:rPr/>
            </w:pPr>
            <w:r>
              <w:rPr/>
              <w:t>that the Resale Shares were issued at consideration per share no less than the par value of the Resale Shares and the Company has received in full the consideration in respect of the issuance of the Resale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subject to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1.</w:t>
            </w:r>
          </w:p>
        </w:tc>
        <w:tc>
          <w:tcPr>
            <w:tcW w:w="10020" w:type="dxa"/>
            <w:tcBorders/>
            <w:vAlign w:val="center"/>
          </w:tcPr>
          <w:p>
            <w:pPr>
              <w:pStyle w:val="TableContents"/>
              <w:bidi w:val="0"/>
              <w:spacing w:before="0" w:after="283"/>
              <w:jc w:val="both"/>
              <w:rPr/>
            </w:pPr>
            <w:r>
              <w:rPr>
                <w:b/>
              </w:rPr>
              <w:t>Non-Assessable</w:t>
            </w:r>
            <w:r>
              <w:rPr/>
              <w:t>: In this opinion the phrase “non-assessable” means, with respect to shares in the Company, that a member (shareholder) shall not, solely by virtue of its status as a member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2.</w:t>
            </w:r>
          </w:p>
        </w:tc>
        <w:tc>
          <w:tcPr>
            <w:tcW w:w="10023" w:type="dxa"/>
            <w:tcBorders/>
            <w:vAlign w:val="center"/>
          </w:tcPr>
          <w:p>
            <w:pPr>
              <w:pStyle w:val="TableContents"/>
              <w:bidi w:val="0"/>
              <w:spacing w:before="0" w:after="283"/>
              <w:jc w:val="both"/>
              <w:rPr/>
            </w:pPr>
            <w:r>
              <w:rPr>
                <w:b/>
              </w:rPr>
              <w:t>Preferences</w:t>
            </w:r>
            <w:r>
              <w:rPr/>
              <w:t>: Every conveyance or transfer of property, or charge thereon, and every payment obligation and judicial proceeding, made, incurred, taken or suffered by a company at a time when that company was unable to pay its debts within the meaning of section 93 of the Companies Act (as amended) of the Cayman Islands (</w:t>
            </w:r>
            <w:r>
              <w:rPr>
                <w:b/>
              </w:rPr>
              <w:t>Companies Act</w:t>
            </w:r>
            <w:r>
              <w:rPr/>
              <w:t>), and made or granted in favour of a creditor with a view to giving that creditor a preference over the other creditors of the company, would be voidable upon the application of the company’s liquidator pursuant to section 145(1) of the Companies Act, if made, incurred, taken or suffered within the six months preceding the commencement of a liquidation of the company. Such actions will be deemed to have been made with a view to giving such creditor a preference if it is a “related party” of the company. A creditor shall be treated as a related party if it has the ability to control a company or exercise significant influence over a company in making financial and operating decisions.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3.</w:t>
            </w:r>
          </w:p>
        </w:tc>
        <w:tc>
          <w:tcPr>
            <w:tcW w:w="10016" w:type="dxa"/>
            <w:tcBorders/>
            <w:vAlign w:val="center"/>
          </w:tcPr>
          <w:p>
            <w:pPr>
              <w:pStyle w:val="TableContents"/>
              <w:bidi w:val="0"/>
              <w:spacing w:before="0" w:after="283"/>
              <w:jc w:val="both"/>
              <w:rPr/>
            </w:pPr>
            <w:r>
              <w:rPr>
                <w:b/>
              </w:rPr>
              <w:t>Undervalues</w:t>
            </w:r>
            <w:r>
              <w:rPr/>
              <w:t>: Any disposition of property made at an undervalue by or on behalf of a company and with an intent to defraud its creditors (which means an intention to wilfully defeat an obligation owed to a creditor), shall be voidable (i) under section 146 of the Companies Act at the instance of the company’s official liquidator, and (ii) under the Fraudulent Dispositions Act (as amended) of the Cayman Islands, at the instance of a creditor thereby prejudiced.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4.</w:t>
            </w:r>
          </w:p>
        </w:tc>
        <w:tc>
          <w:tcPr>
            <w:tcW w:w="10015" w:type="dxa"/>
            <w:tcBorders/>
            <w:vAlign w:val="center"/>
          </w:tcPr>
          <w:p>
            <w:pPr>
              <w:pStyle w:val="TableContents"/>
              <w:bidi w:val="0"/>
              <w:spacing w:before="0" w:after="283"/>
              <w:jc w:val="both"/>
              <w:rPr/>
            </w:pPr>
            <w:r>
              <w:rPr>
                <w:b/>
              </w:rPr>
              <w:t>Defrauding Creditors</w:t>
            </w:r>
            <w:r>
              <w:rPr/>
              <w:t>: If any business of a company has been carried on with intent to defraud creditors of the company or creditors of any other person or for any fraudulent purpose, the Cayman Islands court may declare that any persons who were knowingly parties to the carrying on of the business of the company in such manner are liable to make such contributions, if any, to the company’s assets as the court thinks proper.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5.</w:t>
            </w:r>
          </w:p>
        </w:tc>
        <w:tc>
          <w:tcPr>
            <w:tcW w:w="10015" w:type="dxa"/>
            <w:tcBorders/>
            <w:vAlign w:val="center"/>
          </w:tcPr>
          <w:p>
            <w:pPr>
              <w:pStyle w:val="TableContents"/>
              <w:bidi w:val="0"/>
              <w:spacing w:before="0" w:after="283"/>
              <w:jc w:val="both"/>
              <w:rPr/>
            </w:pPr>
            <w:r>
              <w:rPr>
                <w:b/>
              </w:rPr>
              <w:t>Corporate Documents</w:t>
            </w:r>
            <w:r>
              <w:rPr/>
              <w:t>: The Registry of Companies in the Cayman Islands is not public in the sense that copies of the Constitutional Documents and information on shareholders is not publicly available and information on directors is limited. We have therefore obtained scanned copies of the corporate documents specified in Schedule 1 and relied exclusively on such scanned copies for the verification of such corporate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6.</w:t>
            </w:r>
          </w:p>
        </w:tc>
        <w:tc>
          <w:tcPr>
            <w:tcW w:w="10022" w:type="dxa"/>
            <w:tcBorders/>
            <w:vAlign w:val="center"/>
          </w:tcPr>
          <w:p>
            <w:pPr>
              <w:pStyle w:val="TableContents"/>
              <w:bidi w:val="0"/>
              <w:spacing w:before="0" w:after="283"/>
              <w:jc w:val="both"/>
              <w:rPr/>
            </w:pPr>
            <w:r>
              <w:rPr>
                <w:b/>
              </w:rPr>
              <w:t>Issue of Shares:</w:t>
            </w:r>
            <w:r>
              <w:rPr/>
              <w:t xml:space="preserve"> Based on the decision in the English case of </w:t>
            </w:r>
            <w:r>
              <w:rPr>
                <w:i/>
              </w:rPr>
              <w:t>Houldsworth v City of Glasgow Bank</w:t>
            </w:r>
            <w:r>
              <w:rPr/>
              <w:t xml:space="preserve"> (1880) 5 App Cas 317 HL, in the event of a misrepresentation by a Company on which a shareholder relied in agreeing to subscribe for shares in such Company, the shareholder may be entitled to rescind the share subscription agreement and thereafter claim damages against such Company for any additional loss suffered as a result of the misrepresentation. Such a claim for damages will not arise unless and until the shareholder has successfully rescinded the share subscription agreement. A shareholder may be barred from rescinding on the grounds of delay or affirmation and if such Company is wound up (whether voluntarily or compulsorily), such shareholder will lose the right to rescind the share subscription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b/>
              </w:rPr>
            </w:pPr>
            <w:r>
              <w:rPr>
                <w:b/>
              </w:rPr>
              <w:t>7.</w:t>
            </w:r>
          </w:p>
        </w:tc>
        <w:tc>
          <w:tcPr>
            <w:tcW w:w="10020" w:type="dxa"/>
            <w:tcBorders/>
            <w:vAlign w:val="center"/>
          </w:tcPr>
          <w:p>
            <w:pPr>
              <w:pStyle w:val="TableContents"/>
              <w:bidi w:val="0"/>
              <w:spacing w:before="0" w:after="283"/>
              <w:jc w:val="both"/>
              <w:rPr/>
            </w:pPr>
            <w:r>
              <w:rPr>
                <w:b/>
              </w:rPr>
              <w:t>Void Transactions</w:t>
            </w:r>
            <w:r>
              <w:rPr/>
              <w:t>: Pursuant to section 99 of the Companies Act, when a winding-up order has been made, any disposition of the Company’s property and any transfer of shares or alteration in the status of the Company’s members made after the commencement of the winding-up (i.e., the date when the winding-up petition was first filed) is void, unless the Grand Court of the Cayman Islands otherwise orders. In the event the allotment and issuance of the Resale Shares by the Company to the Selling Shareholders and the sale and transfer of the Resale Shares by the Selling Shareholders are rendered void because a winding-up order is made, the register of members of the Company shall revert to the position as at the date of the presentation of the winding-up petition.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5" w:name="tm2624270d1_ex8-1.htm"/>
      <w:bookmarkStart w:id="26" w:name="kstm2624270d1_ex81"/>
      <w:bookmarkEnd w:id="25"/>
      <w:bookmarkEnd w:id="26"/>
      <w:r>
        <w:rPr/>
        <w:t> </w:t>
      </w:r>
      <w:r>
        <w:br w:type="page"/>
      </w:r>
    </w:p>
    <w:p>
      <w:pPr>
        <w:pStyle w:val="TextBody"/>
        <w:bidi w:val="0"/>
        <w:jc w:val="right"/>
        <w:rPr>
          <w:b/>
        </w:rPr>
      </w:pPr>
      <w:r>
        <w:rPr>
          <w:b/>
        </w:rPr>
        <w:t>Exhibit 8.1</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Baosheng Media Group Holdings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Floor 5, Building No. 8, Xishanhui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Shijingshan District, Beijing 100041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w:t>
      </w:r>
      <w:r>
        <w:rPr>
          <w:rFonts w:ascii="Times New Roman;Times;Serif" w:hAnsi="Times New Roman;Times;Serif"/>
          <w:b w:val="false"/>
          <w:i w:val="false"/>
          <w:caps w:val="false"/>
          <w:smallCaps w:val="false"/>
          <w:sz w:val="20"/>
        </w:rPr>
        <w:t xml:space="preserve"> Registration Statement on Form 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lawyers qualified to practice law in the People’s Republic of China (the “PRC” or “China,” which, for purposes of this opinion, excludes the Hong Kong Special Administrative Region, the Macau Special Administrative Region and Taiwan). We are qualified to issue this opinion on the PRC Laws (as defined below) effective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 as PRC legal counsel to Baosheng Media Group Holdings Limited, a Cayman Islands exempted company (the “Company”), in connection with the Company’s registration statement on Form F-3, including the prospectus forming a part thereof and any amendments or supplements thereto (the “Registration Statement”), filed with the United States Securities and Exchange Commission (the “SEC”) under the U.S. Securities Act of 1933, as amended (the “Securities Act”), relating to the registration for resale by the selling shareholders identified therein of up to 25,000,000 ordinary shares, par value US$0.0096 per share, of the Company (the “Resale Shares”) (the “Resale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incorporates by reference the Company’s annual report on Form 20-F for the fiscal year ended December 31, 2025, filed with the SEC on April 30, 2026 (the “2025 Annual Report”). We understand that Beijing Dacheng Law Offices, LLP (“Dacheng”) served as PRC counsel to the Company in connection with the 2025 Annual Report. For purposes of the Registration Statement and as of the date hereof, we have independently reviewed the PRC-law matters described in the Registration Statement, including the relevant disclosures incorporated by reference from the 2025 Annual Report, and render our own opinions set forth below. We do not rely upon, adopt or assume responsibility for any opinion of Dacheng, and this opinion does not alter the historical fact that Dacheng advised the Company in connection with the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Documents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conducted such due diligence and examined originals or copies of the Registration Statement, the 2025 Annual Report, constitutional documents, corporate records, governmental certificates, licenses, permits, agreements, written confirmations and other documents relating to the Company and the PRC Companies (as defined below) as we have considered necessary or advisable for the purpose of this opinion (collectively, the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facts were not independently established and verified by us, we have relied upon certificates or statements issued or made by the relevant Governmental Agencies and appropriate representatives of the Company and the PRC Companies. In rendering this opinion, we have assumed, without independent verification,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 all signatures, seals and chops are genuine; each signature was made by a duly authorized person; all originals are authentic; and all copies conform to authentic originals;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 each party to a Document, other than a PRC Company, is duly organized, validly existing and has the requisite power, authority and capacity to execute, deliver and perform that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 the Documents remain in full force and effect and have not been amended, revoked, supplemented or terminated except as disclosed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A.4. all factual statements, certificates and confirmations supplied to us by the Company, the PRC Companies, their officers and the relevant Governmental Agencies are true, accurate and complete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 all consents, approvals, authorizations, registrations and filings required under laws other than PRC Laws have been obtained or made and remain effective;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A.6. no offer, sale or resale of the Resale Shares will be made, directly or indirectly, within the PRC in violation of PRC Laws, and the selling shareholders and the Company will comply with the plan of distribution and other terms described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Governmental Agency” means any national, provincial or local governmental, regulatory or administrative authority, agency or commission in the PRC, or any court, tribunal or other judicial or arbitral body in the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Governmental Authorization” means any approval, consent, waiver, order, registration, filing, declaration, license, permit, certificate, clearance, qualification or other authorization by, from or with a Governmental Agency pursuant to PRC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PRC Companies” means the PRC-incorporated subsidiaries of the Company listed in Appendix A hereto, and each a “PRC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PRC Laws” means the published laws, regulations, rules, notices, orders, decrees and judicial interpretations of the PRC that are generally available and in force as of the date hereof. However, “PRC Laws” herein does not include the laws of the Hong Kong Special Administrative Region, the Macao Special Administrative Region or the Taiwan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Opinions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our examination of the Documents and subject to the assumptions and qualifications set forth herein and the disclosures contained in the Registration Statement,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C.1. Organization and Corporate Structure.</w:t>
      </w:r>
      <w:r>
        <w:rPr>
          <w:rFonts w:ascii="Times New Roman;Times;Serif" w:hAnsi="Times New Roman;Times;Serif"/>
          <w:b w:val="false"/>
          <w:i w:val="false"/>
          <w:caps w:val="false"/>
          <w:smallCaps w:val="false"/>
          <w:sz w:val="20"/>
        </w:rPr>
        <w:t xml:space="preserve"> As of the date of this Legal Opinion, each PRC Company has been duly incorporated and is validly existing under PRC Laws. The description of the ownership and corporate structure of the PRC Companies in the Registration Statement, including the portions incorporated by reference from the 2025 Annual Report, fairly and accurately describes such ownership and corporate structure in all material respects. Such ownership and corporate structure does not violate applicable PRC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C.2. Business Licenses and Regulatory Permissions.</w:t>
      </w:r>
      <w:r>
        <w:rPr>
          <w:rFonts w:ascii="Times New Roman;Times;Serif" w:hAnsi="Times New Roman;Times;Serif"/>
          <w:b w:val="false"/>
          <w:i w:val="false"/>
          <w:caps w:val="false"/>
          <w:smallCaps w:val="false"/>
          <w:sz w:val="20"/>
        </w:rPr>
        <w:t xml:space="preserve"> As of the date of this Legal Opinion, each PRC Company holds a valid business license. Based on the PRC Laws currently in effect and the present scope of the PRC Companies’ businesses, no additional industry-specific qualification, license or permit, including an Internet Content Provider license, is required for the PRC Companies to conduct their online advertising service business as presently conducted. The foregoing conclusions are subject to the uncertainties regarding future interpretation, implementation and amendment of applicable PRC Laws described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C.3. Foreign Investment and M&amp;A Rules. </w:t>
      </w:r>
      <w:r>
        <w:rPr>
          <w:rFonts w:ascii="Times New Roman;Times;Serif" w:hAnsi="Times New Roman;Times;Serif"/>
          <w:b w:val="false"/>
          <w:i w:val="false"/>
          <w:caps w:val="false"/>
          <w:smallCaps w:val="false"/>
          <w:sz w:val="20"/>
        </w:rPr>
        <w:t>The establishment of each of the PRC Companies, the acquisitions of equity interests in the PRC Companies, and the ownership (equity) structure of the PRC Companies, in each case as described in the Registration Statement (including the relevant portions of the 2025 Annual Report incorporated therein by reference), are not, in all material respects, in violation of, nor in conflict with, the mandatory provisions of the Provisions on Mergers and Acquisitions of Domestic Enterprises by Foreign Investors (promulgated by Order No. 6 of the Ministry of Commerce on June 22, 2009, the “M&amp;A Rules”), the Foreign Investment Law of the People’s Republic of China and its implementing regulations, and other applicable PRC Laws, administrative regulations, departmental rules and normative documents that are effective and applicable as of the date of this Legal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C.4. Overseas Offering and CSRC Filing.</w:t>
      </w:r>
      <w:r>
        <w:rPr>
          <w:rFonts w:ascii="Times New Roman;Times;Serif" w:hAnsi="Times New Roman;Times;Serif"/>
          <w:b w:val="false"/>
          <w:i w:val="false"/>
          <w:caps w:val="false"/>
          <w:smallCaps w:val="false"/>
          <w:sz w:val="20"/>
        </w:rPr>
        <w:t xml:space="preserve"> Pursuant to the </w:t>
      </w:r>
      <w:r>
        <w:rPr>
          <w:rFonts w:ascii="Times New Roman;Times;Serif" w:hAnsi="Times New Roman;Times;Serif"/>
          <w:b w:val="false"/>
          <w:i/>
          <w:caps w:val="false"/>
          <w:smallCaps w:val="false"/>
          <w:sz w:val="20"/>
        </w:rPr>
        <w:t>Trial Administrative Measures of Overseas Securities Offering and Listing by Domestic Companies</w:t>
      </w:r>
      <w:r>
        <w:rPr>
          <w:rFonts w:ascii="Times New Roman;Times;Serif" w:hAnsi="Times New Roman;Times;Serif"/>
          <w:b w:val="false"/>
          <w:i w:val="false"/>
          <w:caps w:val="false"/>
          <w:smallCaps w:val="false"/>
          <w:sz w:val="20"/>
        </w:rPr>
        <w:t xml:space="preserve"> (CSRC Announcement [2023] No. 43, the “Overseas Listing Measures”) and the supporting guidelines issued thereunder, overseas securities offerings and listings by domestic companies are subject to filing-based administration by the CSRC.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transaction structure described in the Registration Statement and the Documents reviewed by us, the filing of the Registration Statement and the resale by the Selling Shareholders of the Resale Shares contemplated thereby do not, in and of themselves, constitute a new overseas securities offering by the Company requiring a separate filing with or approval from the CSRC, because the Resale Shares have been issued and are outstanding, no new securities will be issued by the Company pursuant to the Registration Statement, and the Company will not receive any proceeds from the resale of the Resale Shares by the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the Registration Statement, no other filing with, or permission or approval from, the CSRC is required under applicable PRC Laws solely as a result of the filing of the Registration Statement or the resale of the Resale Shares by the Selling Shareholders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C.5. Cybersecurity, Data Security and Privacy. </w:t>
      </w:r>
      <w:r>
        <w:rPr>
          <w:rFonts w:ascii="Times New Roman;Times;Serif" w:hAnsi="Times New Roman;Times;Serif"/>
          <w:b w:val="false"/>
          <w:i w:val="false"/>
          <w:caps w:val="false"/>
          <w:smallCaps w:val="false"/>
          <w:sz w:val="20"/>
        </w:rPr>
        <w:t>Based on the Company’s representations and confirmations regarding the relevant facts, and based on our understanding of the PRC Laws, administrative regulations and departmental rules that are effective and applicable as of the date of this Legal Opinion, we are of the opinion that: (i) as the personal information of users held by the Company does not currently exceed one million and the Company has confirmed that it will not reach such threshold in the foreseeable future, the offering and listing contemplated hereby does not trigger the mandatory filing obligation under Article 7 of the Cybersecurity Review Measures; (ii) the data processing activities currently carried out by the Company do not give rise to any circumstance that affects or may affect national security, and therefore do not trigger the requirement under Article 2 of such measures for a network platform operator to apply for cybersecurity review, provided that where a member entity of the cybersecurity review work mechanism determines that the relevant activities affect or may affect national security, the Cybersecurity Review Office may still initiate a review ex officio; (iii) the Company currently does not provide any personal information or important data to any entity or recipient outside the PRC, and in the event that any cross-border data transfer occurs in the future, the Company shall, in accordance with the then-effective regulations on cross-border data transfer and based on the cumulative volume and sensitivity of the personal information transferred abroad from January 1 of the relevant year, fulfill its compliance obligations by filing for a security assessment of outbound data transfers, entering into a standard contract for the outbound transfer of personal information, or obtaining personal information protection certification, as the case may be; and (iv) based on the Company’s current business model and data processing practices, the Company is not currently required to make any filing, application, assessment or other submission to the regulatory authorities in respect of the security assessment of outbound data transfers, the filings relating to important data, or other mandatory procedures under the Regulations on the Administration of Network Data Security (Order No. 790 of the State Council). The foregoing opinions are rendered on the basis of the truth, accuracy and completeness of the documents and information provided to us by the Company, and on the premise that the Company’s existing business scale, data types and processing methods remain unchanged. In the event of any material change in the Company’s user base, scope of data processing or business model, or of any change in the relevant laws, regulations or regulatory interpretations, the foregoing opinions may be subject to corresponding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C.6. Dividend Distribution and Foreign Exchange. </w:t>
      </w:r>
      <w:r>
        <w:rPr>
          <w:rFonts w:ascii="Times New Roman;Times;Serif" w:hAnsi="Times New Roman;Times;Serif"/>
          <w:b w:val="false"/>
          <w:i w:val="false"/>
          <w:caps w:val="false"/>
          <w:smallCaps w:val="false"/>
          <w:sz w:val="20"/>
        </w:rPr>
        <w:t>The descriptions in the Registration Statement of the PRC Laws governing dividend distributions by the PRC Companies, statutory reserves, foreign exchange controls, cross-border loans, capital contributions and transfers of cash to and from the PRC fairly and accurately summarize the applicable PRC Laws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C.7. Enforceability of Civil Liabilities. </w:t>
      </w:r>
      <w:r>
        <w:rPr>
          <w:rFonts w:ascii="Times New Roman;Times;Serif" w:hAnsi="Times New Roman;Times;Serif"/>
          <w:b w:val="false"/>
          <w:i w:val="false"/>
          <w:caps w:val="false"/>
          <w:smallCaps w:val="false"/>
          <w:sz w:val="20"/>
        </w:rPr>
        <w:t>The statements in the Registration Statement under the caption “Enforceability of Civil Liabilities,” insofar as they describe or summarize matters of PRC Laws, fairly and accurately summarize such matters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C.8. Legal Proceedings. </w:t>
      </w:r>
      <w:r>
        <w:rPr>
          <w:rFonts w:ascii="Times New Roman;Times;Serif" w:hAnsi="Times New Roman;Times;Serif"/>
          <w:b w:val="false"/>
          <w:i w:val="false"/>
          <w:caps w:val="false"/>
          <w:smallCaps w:val="false"/>
          <w:sz w:val="20"/>
        </w:rPr>
        <w:t>The statements incorporated by reference from “Item 8. Financial Information—A. Consolidated Statements and Other Financial Information—Legal Proceedings” in the 2025 Annual Report, as updated by the Registration Statement, insofar as they describe or summarize matters of PRC Laws or PRC legal proceedings involving the Company or any PRC Company, fairly and accurately describe such PRC-law matters and proceedings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C.9. PRC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incorporated by reference from “Item 10. Additional Information—E. Taxation—People’s Republic of China Taxation” in the 2025 Annual Report, as updated by the Registration Statement, accurately describe or summarize matters relating to Chinese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C.10. PRC-Law Disclosure. </w:t>
      </w:r>
      <w:r>
        <w:rPr>
          <w:rFonts w:ascii="Times New Roman;Times;Serif" w:hAnsi="Times New Roman;Times;Serif"/>
          <w:b w:val="false"/>
          <w:i w:val="false"/>
          <w:caps w:val="false"/>
          <w:smallCaps w:val="false"/>
          <w:sz w:val="20"/>
        </w:rPr>
        <w:t>The statements in the Registration Statement, including the relevant statements incorporated by reference from the 2025 Annual Report under the captions (i) “Item 3. Key Information—D. Risk Factors—Risks Related to Our Business and Industry,” (ii) “Item 3. Key Information—D. Risk Factors—Risks Related to Doing Business in China,” as updated by the Registration Statement, (iii) “Item 4. Information on the Company—B. Business Overview—Regulation,” (iv) “Item 8. Financial Information—A. Consolidated Statements and Other Financial Information—Legal Proceedings,” and (v) “Item 10. Additional Information—E. Taxation—People’s Republic of China Taxation,” in each case insofar as they describe or summarize matters of PRC Laws, except as otherwise stated in this legal opinion, are in all material respects fair and accurate summaries of the matters described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Qualifications and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D.1. Our opinions are limited to PRC Laws of general application in effect and publicly available on the date hereof. We express no opinion on the laws of any jurisdiction other than the PRC, including the laws of the Cayman Islands, Hong Kong or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D.2. PRC Laws and their interpretation, implementation and enforcement may change, possibly with retrospective effect. Where PRC Laws are silent or unclear, their interpretation and application are subject to the discretion of the competent legislative, administrative and judicial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D.3. Our opinions concerning validity, binding effect or enforceability are subject to applicable bankruptcy, insolvency, reorganization, moratorium, limitation and similar laws affecting creditors’ rights generally, and to general principles of public interest, national security, good faith, fairness and judicial or administrative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D.4. The term “enforceable” means that the relevant obligations are of a type that a PRC court may enforce; it does not mean that such obligations will necessarily be enforced in every circumstance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D.5. As to matters of fact, we have relied, to the extent we considered appropriate, upon certificates, confirmations and representations of the Company, the PRC Companies, their responsible officers and Governmental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D.6. This opinion is to be read as a whole. No paragraph or portion may be extracted and relied upon independently. No opinion is expressed or implied beyond the matters expressly stated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D.7. This opinion speaks only as of its date. We undertake no obligation to advise the Company, the SEC or any other person of any fact, event, change in law or development occurring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(i) the use of this opinion in, and the filing of this opinion as an exhibit to, the Registration Statement, (ii) the reference to our firm and the description of our advice or opinions under the captions “Prospectus Summary,” “Risk Factors,” “Enforceability of Civil Liabilities,” “Taxation,” “Legal Matters” and any other caption in the Registration Statement under which our name, advice or opinions are referenced, quoted or summarized, and (iii) the incorporation by reference of this opinion into any registration statement filed pursuant to Rule 462(b) under the Securities Act with respect to the Resale Offering. In giving such consent, we do not thereby admit that we are within the category of persons whose consent is required under Section 7 of the Securities Act or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ANLI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ANLI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PRC COMPANIES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231"/>
        <w:gridCol w:w="9895"/>
      </w:tblGrid>
      <w:tr>
        <w:trPr/>
        <w:tc>
          <w:tcPr>
            <w:tcW w:w="7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Beijing Baosheng Technology Company Limited</w:t>
            </w:r>
          </w:p>
        </w:tc>
      </w:tr>
    </w:tbl>
    <w:tbl>
      <w:tblPr>
        <w:tblW w:w="5000" w:type="pct"/>
        <w:jc w:val="left"/>
        <w:tblInd w:w="0" w:type="dxa"/>
        <w:tblLayout w:type="fixed"/>
        <w:tblCellMar>
          <w:top w:w="0" w:type="dxa"/>
          <w:left w:w="0" w:type="dxa"/>
          <w:bottom w:w="0" w:type="dxa"/>
          <w:right w:w="0" w:type="dxa"/>
        </w:tblCellMar>
      </w:tblPr>
      <w:tblGrid>
        <w:gridCol w:w="79"/>
        <w:gridCol w:w="232"/>
        <w:gridCol w:w="9894"/>
      </w:tblGrid>
      <w:tr>
        <w:trPr/>
        <w:tc>
          <w:tcPr>
            <w:tcW w:w="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Horgos Baosheng Advertising Company Limited</w:t>
            </w:r>
          </w:p>
        </w:tc>
      </w:tr>
    </w:tbl>
    <w:tbl>
      <w:tblPr>
        <w:tblW w:w="5000" w:type="pct"/>
        <w:jc w:val="left"/>
        <w:tblInd w:w="0" w:type="dxa"/>
        <w:tblLayout w:type="fixed"/>
        <w:tblCellMar>
          <w:top w:w="0" w:type="dxa"/>
          <w:left w:w="0" w:type="dxa"/>
          <w:bottom w:w="0" w:type="dxa"/>
          <w:right w:w="0" w:type="dxa"/>
        </w:tblCellMar>
      </w:tblPr>
      <w:tblGrid>
        <w:gridCol w:w="77"/>
        <w:gridCol w:w="223"/>
        <w:gridCol w:w="9905"/>
      </w:tblGrid>
      <w:tr>
        <w:trPr/>
        <w:tc>
          <w:tcPr>
            <w:tcW w:w="7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Baosheng Technology (Horgos) Company Limited</w:t>
            </w:r>
          </w:p>
        </w:tc>
      </w:tr>
    </w:tbl>
    <w:tbl>
      <w:tblPr>
        <w:tblW w:w="5000" w:type="pct"/>
        <w:jc w:val="left"/>
        <w:tblInd w:w="0" w:type="dxa"/>
        <w:tblLayout w:type="fixed"/>
        <w:tblCellMar>
          <w:top w:w="0" w:type="dxa"/>
          <w:left w:w="0" w:type="dxa"/>
          <w:bottom w:w="0" w:type="dxa"/>
          <w:right w:w="0" w:type="dxa"/>
        </w:tblCellMar>
      </w:tblPr>
      <w:tblGrid>
        <w:gridCol w:w="79"/>
        <w:gridCol w:w="229"/>
        <w:gridCol w:w="9897"/>
      </w:tblGrid>
      <w:tr>
        <w:trPr/>
        <w:tc>
          <w:tcPr>
            <w:tcW w:w="7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Beijing Baosheng Network Technology Co., Ltd.</w:t>
            </w:r>
          </w:p>
        </w:tc>
      </w:tr>
    </w:tbl>
    <w:tbl>
      <w:tblPr>
        <w:tblW w:w="5000" w:type="pct"/>
        <w:jc w:val="left"/>
        <w:tblInd w:w="0" w:type="dxa"/>
        <w:tblLayout w:type="fixed"/>
        <w:tblCellMar>
          <w:top w:w="0" w:type="dxa"/>
          <w:left w:w="0" w:type="dxa"/>
          <w:bottom w:w="0" w:type="dxa"/>
          <w:right w:w="0" w:type="dxa"/>
        </w:tblCellMar>
      </w:tblPr>
      <w:tblGrid>
        <w:gridCol w:w="99"/>
        <w:gridCol w:w="289"/>
        <w:gridCol w:w="9817"/>
      </w:tblGrid>
      <w:tr>
        <w:trPr/>
        <w:tc>
          <w:tcPr>
            <w:tcW w:w="9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Beijing Xunhuo E-commerce Co., Ltd.</w:t>
            </w:r>
          </w:p>
        </w:tc>
      </w:tr>
    </w:tbl>
    <w:tbl>
      <w:tblPr>
        <w:tblW w:w="5000" w:type="pct"/>
        <w:jc w:val="left"/>
        <w:tblInd w:w="0" w:type="dxa"/>
        <w:tblLayout w:type="fixed"/>
        <w:tblCellMar>
          <w:top w:w="0" w:type="dxa"/>
          <w:left w:w="0" w:type="dxa"/>
          <w:bottom w:w="0" w:type="dxa"/>
          <w:right w:w="0" w:type="dxa"/>
        </w:tblCellMar>
      </w:tblPr>
      <w:tblGrid>
        <w:gridCol w:w="68"/>
        <w:gridCol w:w="199"/>
        <w:gridCol w:w="9938"/>
      </w:tblGrid>
      <w:tr>
        <w:trPr/>
        <w:tc>
          <w:tcPr>
            <w:tcW w:w="6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Beijing Zhiding Baosheng Network Technology Co. Ltd.</w:t>
            </w:r>
          </w:p>
        </w:tc>
      </w:tr>
    </w:tbl>
    <w:tbl>
      <w:tblPr>
        <w:tblW w:w="5000" w:type="pct"/>
        <w:jc w:val="left"/>
        <w:tblInd w:w="0" w:type="dxa"/>
        <w:tblLayout w:type="fixed"/>
        <w:tblCellMar>
          <w:top w:w="0" w:type="dxa"/>
          <w:left w:w="0" w:type="dxa"/>
          <w:bottom w:w="0" w:type="dxa"/>
          <w:right w:w="0" w:type="dxa"/>
        </w:tblCellMar>
      </w:tblPr>
      <w:tblGrid>
        <w:gridCol w:w="67"/>
        <w:gridCol w:w="197"/>
        <w:gridCol w:w="9941"/>
      </w:tblGrid>
      <w:tr>
        <w:trPr/>
        <w:tc>
          <w:tcPr>
            <w:tcW w:w="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Yuansheng Meiyan Healthcare Service (Hainan) Co., Ltd.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7" w:name="tm2624270d1_ex23-1.htm"/>
      <w:bookmarkStart w:id="28" w:name="kstm2624270d1_ex23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37790" cy="4483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3"/>
                    <a:stretch>
                      <a:fillRect/>
                    </a:stretch>
                  </pic:blipFill>
                  <pic:spPr bwMode="auto">
                    <a:xfrm>
                      <a:off x="0" y="0"/>
                      <a:ext cx="2637790" cy="44831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F-3 of Baosheng Media Group Holdings Limited (the “Company”) of our report dated April 30, 2026, relating to the consolidated balance sheet of the Company as of December 31, 2025, and the related consolidated statements of operations and comprehensive loss, changes in shareholders’ equity, and cash flows for the year then ended, and the related notes, included in Baosheng Media Group Holdings Limited’s Annual Report on Form 20-F for the year ended December 31, 2025, filed with the Securities and Exchange Commission on 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GGF CPA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GGF CPA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2729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9" w:name="tm2624270d1_ex23-4.htm"/>
      <w:bookmarkStart w:id="30" w:name="kstm2624270d1_ex234"/>
      <w:bookmarkEnd w:id="29"/>
      <w:bookmarkEnd w:id="30"/>
      <w:r>
        <w:rPr/>
        <w:t> </w:t>
      </w:r>
      <w:r>
        <w:br w:type="page"/>
      </w:r>
    </w:p>
    <w:p>
      <w:pPr>
        <w:pStyle w:val="TextBody"/>
        <w:bidi w:val="0"/>
        <w:jc w:val="right"/>
        <w:rPr>
          <w:b/>
        </w:rPr>
      </w:pPr>
      <w:r>
        <w:rPr>
          <w:b/>
        </w:rPr>
        <w:t>Exhibit 23.4</w:t>
      </w:r>
    </w:p>
    <w:p>
      <w:pPr>
        <w:pStyle w:val="TextBody"/>
        <w:shd w:fill="FFFFFF" w:val="clear"/>
        <w:bidi w:val="0"/>
        <w:spacing w:before="0" w:after="0"/>
        <w:ind w:left="360" w:right="0" w:hanging="360"/>
        <w:jc w:val="both"/>
        <w:rPr>
          <w:caps w:val="false"/>
          <w:smallCaps w:val="false"/>
        </w:rPr>
      </w:pPr>
      <w:r>
        <w:rPr>
          <w:caps w:val="false"/>
          <w:smallCaps w:val="false"/>
        </w:rPr>
        <w:drawing>
          <wp:inline distT="0" distB="0" distL="0" distR="0">
            <wp:extent cx="2057400" cy="1181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4"/>
                    <a:stretch>
                      <a:fillRect/>
                    </a:stretch>
                  </pic:blipFill>
                  <pic:spPr bwMode="auto">
                    <a:xfrm>
                      <a:off x="0" y="0"/>
                      <a:ext cx="2057400" cy="1181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of Baosheng Media Group Holdings Limited on Form F-3 of our report dated April 29, 2025, with respect to the consolidated balance sheet of Baosheng Media Group Holdings Limited and its subsidiaries as of December 31, 2024 and the related consolidated statements of operations and comprehensive loss, changes in shareholders’ equity, and cash flows for the years ended December 31, 2024 and 2023, which report is included in the Company’s Annual Report on Form 20-F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dismissed as auditors on July 25, 2025 and, accordingly, we have not performed any audit or review procedures with respect to any financial statements included in such Annual Report for the periods after the date of our dismissal.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the Prospectus, which is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YCM CPA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PCAOB ID 6781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31" w:name="tm2624270d1_exfilingfees.htm"/>
      <w:bookmarkStart w:id="32" w:name="kstm2624270d1_exfilingfees"/>
      <w:bookmarkStart w:id="33" w:name="tm2624270d1_exfilingfees.htm"/>
      <w:bookmarkStart w:id="34" w:name="kstm2624270d1_exfilingfees"/>
      <w:bookmarkEnd w:id="33"/>
      <w:bookmarkEnd w:id="34"/>
      <w:r>
        <w:br w:type="page"/>
      </w:r>
    </w:p>
    <w:tbl>
      <w:tblPr>
        <w:tblW w:w="4160" w:type="dxa"/>
        <w:jc w:val="left"/>
        <w:tblInd w:w="0" w:type="dxa"/>
        <w:tblLayout w:type="fixed"/>
        <w:tblCellMar>
          <w:top w:w="28" w:type="dxa"/>
          <w:left w:w="28" w:type="dxa"/>
          <w:bottom w:w="28" w:type="dxa"/>
          <w:right w:w="28" w:type="dxa"/>
        </w:tblCellMar>
      </w:tblPr>
      <w:tblGrid>
        <w:gridCol w:w="4006"/>
        <w:gridCol w:w="154"/>
      </w:tblGrid>
      <w:tr>
        <w:trPr/>
        <w:tc>
          <w:tcPr>
            <w:tcW w:w="41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006" w:type="dxa"/>
            <w:tcBorders/>
            <w:vAlign w:val="center"/>
          </w:tcPr>
          <w:p>
            <w:pPr>
              <w:pStyle w:val="TableContents"/>
              <w:bidi w:val="0"/>
              <w:spacing w:before="0" w:after="283"/>
              <w:jc w:val="left"/>
              <w:rPr>
                <w:b/>
              </w:rPr>
            </w:pPr>
            <w:r>
              <w:rPr>
                <w:b/>
              </w:rPr>
              <w:t xml:space="preserve">F-3 </w:t>
            </w:r>
          </w:p>
        </w:tc>
        <w:tc>
          <w:tcPr>
            <w:tcW w:w="154" w:type="dxa"/>
            <w:tcBorders/>
          </w:tcPr>
          <w:p>
            <w:pPr>
              <w:pStyle w:val="TableContents"/>
              <w:bidi w:val="0"/>
              <w:spacing w:before="0" w:after="283"/>
              <w:jc w:val="left"/>
              <w:rPr>
                <w:sz w:val="4"/>
                <w:szCs w:val="4"/>
              </w:rPr>
            </w:pPr>
            <w:r>
              <w:rPr>
                <w:sz w:val="4"/>
                <w:szCs w:val="4"/>
              </w:rPr>
            </w:r>
          </w:p>
        </w:tc>
      </w:tr>
      <w:tr>
        <w:trPr/>
        <w:tc>
          <w:tcPr>
            <w:tcW w:w="4006" w:type="dxa"/>
            <w:tcBorders/>
            <w:vAlign w:val="center"/>
          </w:tcPr>
          <w:p>
            <w:pPr>
              <w:pStyle w:val="TableContents"/>
              <w:bidi w:val="0"/>
              <w:spacing w:before="0" w:after="283"/>
              <w:jc w:val="left"/>
              <w:rPr>
                <w:b/>
              </w:rPr>
            </w:pPr>
            <w:r>
              <w:rPr>
                <w:b/>
              </w:rPr>
              <w:t xml:space="preserve">Baosheng Media Group Holdings Ltd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284" w:type="dxa"/>
        <w:jc w:val="left"/>
        <w:tblInd w:w="0" w:type="dxa"/>
        <w:tblLayout w:type="fixed"/>
        <w:tblCellMar>
          <w:top w:w="28" w:type="dxa"/>
          <w:left w:w="28" w:type="dxa"/>
          <w:bottom w:w="28" w:type="dxa"/>
          <w:right w:w="28" w:type="dxa"/>
        </w:tblCellMar>
      </w:tblPr>
      <w:tblGrid>
        <w:gridCol w:w="1126"/>
        <w:gridCol w:w="226"/>
        <w:gridCol w:w="946"/>
        <w:gridCol w:w="961"/>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6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2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61" w:type="dxa"/>
            <w:tcBorders/>
            <w:shd w:fill="E7E7E2" w:val="clear"/>
            <w:vAlign w:val="center"/>
          </w:tcPr>
          <w:p>
            <w:pPr>
              <w:pStyle w:val="TableContents"/>
              <w:bidi w:val="0"/>
              <w:spacing w:before="0" w:after="283"/>
              <w:jc w:val="left"/>
              <w:rPr/>
            </w:pPr>
            <w:r>
              <w:rPr/>
              <w:t xml:space="preserve">Ordinary Shares, par value US$0.0096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25,000,000 </w:t>
            </w:r>
          </w:p>
        </w:tc>
        <w:tc>
          <w:tcPr>
            <w:tcW w:w="1156" w:type="dxa"/>
            <w:tcBorders/>
            <w:shd w:fill="E7E7E2" w:val="clear"/>
            <w:vAlign w:val="center"/>
          </w:tcPr>
          <w:p>
            <w:pPr>
              <w:pStyle w:val="TableContents"/>
              <w:bidi w:val="0"/>
              <w:spacing w:before="0" w:after="283"/>
              <w:jc w:val="right"/>
              <w:rPr/>
            </w:pPr>
            <w:r>
              <w:rPr/>
              <w:t xml:space="preserve">$ 0.282 </w:t>
            </w:r>
          </w:p>
        </w:tc>
        <w:tc>
          <w:tcPr>
            <w:tcW w:w="1546" w:type="dxa"/>
            <w:tcBorders/>
            <w:shd w:fill="E7E7E2" w:val="clear"/>
            <w:vAlign w:val="center"/>
          </w:tcPr>
          <w:p>
            <w:pPr>
              <w:pStyle w:val="TableContents"/>
              <w:bidi w:val="0"/>
              <w:spacing w:before="0" w:after="283"/>
              <w:jc w:val="right"/>
              <w:rPr/>
            </w:pPr>
            <w:r>
              <w:rPr/>
              <w:t xml:space="preserve">$ 7,050,000.00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$ 973.61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2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35" w:name="MaxAggtOfferingPrice"/>
            <w:bookmarkEnd w:id="35"/>
            <w:r>
              <w:rPr/>
              <w:t xml:space="preserve">$ 7,050,000.00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$ 973.61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Offset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NetFeeAmt"/>
            <w:bookmarkEnd w:id="39"/>
            <w:r>
              <w:rPr/>
              <w:t xml:space="preserve">$ 973.61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9"/>
        <w:gridCol w:w="8704"/>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(a) The securities are being registered solely in connection with the resale of ordinary shares, par value $0.0096 per share (the "Ordinary Shares"), of BAOSHENG MEDIA GROUP HOLDINGS LIMITED (the "Company") by the selling shareholders named in this registration statement. (b) Estimated solely for purposes of calculating the registration fee in accordance with Rule 457(c) under the Securities Act, based on the average of the high and low prices of the Company's ordinary shares as reported on the applicable exchange within five business days prior to the filing of this Registration Statement, which was $0.282 per share on September 2, 2026. Pursuant to Rule 416 under the Securities Act, the Company is also registering an indeterminate number of additional ordinary shares as may become issuable by reason of any share dividends, share splits, recapitalizations or other similar transactions.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11216/000110465926053161/baos-20251231x20f.htm" TargetMode="External"/><Relationship Id="rId4" Type="http://schemas.openxmlformats.org/officeDocument/2006/relationships/hyperlink" Target="https://www.sec.gov/ix?doc=/Archives/edgar/data/1811216/000110465926053161/baos-20251231x20f.htm" TargetMode="External"/><Relationship Id="rId5" Type="http://schemas.openxmlformats.org/officeDocument/2006/relationships/hyperlink" Target="https://www.sec.gov/ix?doc=/Archives/edgar/data/1811216/000110465926053161/baos-20251231x20f.htm" TargetMode="External"/><Relationship Id="rId6" Type="http://schemas.openxmlformats.org/officeDocument/2006/relationships/image" Target="media/image2.jpeg"/><Relationship Id="rId7" Type="http://schemas.openxmlformats.org/officeDocument/2006/relationships/hyperlink" Target="https://www.sec.gov/ix?doc=/Archives/edgar/data/1811216/000110465926053161/baos-20251231x20f.htm" TargetMode="External"/><Relationship Id="rId8" Type="http://schemas.openxmlformats.org/officeDocument/2006/relationships/hyperlink" Target="https://www.sec.gov/Archives/edgar/data/1811216/000110465926053161/baos-20251231xex2d3.htm" TargetMode="External"/><Relationship Id="rId9" Type="http://schemas.openxmlformats.org/officeDocument/2006/relationships/hyperlink" Target="https://www.sec.gov/ix?doc=/Archives/edgar/data/1811216/000110465926053161/baos-20251231x20f.htm" TargetMode="External"/><Relationship Id="rId10" Type="http://schemas.openxmlformats.org/officeDocument/2006/relationships/hyperlink" Target="https://www.sec.gov/ix?doc=/Archives/edgar/data/1811216/000110465926053161/baos-20251231x20f.htm" TargetMode="External"/><Relationship Id="rId11" Type="http://schemas.openxmlformats.org/officeDocument/2006/relationships/hyperlink" Target="https://www.sec.gov/Archives/edgar/data/1811216/000110465926062917/tm2614879d1_6k.htm" TargetMode="External"/><Relationship Id="rId12" Type="http://schemas.openxmlformats.org/officeDocument/2006/relationships/hyperlink" Target="https://www.sec.gov/Archives/edgar/data/1811216/000110465926070574/tm2616918d1_6k.htm" TargetMode="External"/><Relationship Id="rId13" Type="http://schemas.openxmlformats.org/officeDocument/2006/relationships/hyperlink" Target="https://www.sec.gov/Archives/edgar/data/1811216/000110465926072407/tm2617068d1_6k.htm" TargetMode="External"/><Relationship Id="rId14" Type="http://schemas.openxmlformats.org/officeDocument/2006/relationships/hyperlink" Target="https://www.sec.gov/Archives/edgar/data/1811216/000110465926082289/tm2619932d3_6k.htm" TargetMode="External"/><Relationship Id="rId15" Type="http://schemas.openxmlformats.org/officeDocument/2006/relationships/hyperlink" Target="https://www.sec.gov/Archives/edgar/data/1811216/000110465926083051/tm2619932d2_6k.htm" TargetMode="External"/><Relationship Id="rId16" Type="http://schemas.openxmlformats.org/officeDocument/2006/relationships/hyperlink" Target="https://www.sec.gov/Archives/edgar/data/1811216/000110465926084927/tm2620758d1_6k.htm" TargetMode="External"/><Relationship Id="rId17" Type="http://schemas.openxmlformats.org/officeDocument/2006/relationships/hyperlink" Target="https://www.sec.gov/Archives/edgar/data/1811216/000110465926094112/tm2622877d1_6k.htm" TargetMode="External"/><Relationship Id="rId18" Type="http://schemas.openxmlformats.org/officeDocument/2006/relationships/hyperlink" Target="https://www.sec.gov/Archives/edgar/data/1811216/000110465926098402/tm2622290d2_6k.htm" TargetMode="External"/><Relationship Id="rId19" Type="http://schemas.openxmlformats.org/officeDocument/2006/relationships/hyperlink" Target="https://www.sec.gov/Archives/edgar/data/1811216/000110465926099165/tm2623714d1_6k.htm" TargetMode="External"/><Relationship Id="rId20" Type="http://schemas.openxmlformats.org/officeDocument/2006/relationships/hyperlink" Target="https://www.sec.gov/Archives/edgar/data/1811216/000110465926100823/tm2623916d1_6k.htm" TargetMode="External"/><Relationship Id="rId21" Type="http://schemas.openxmlformats.org/officeDocument/2006/relationships/hyperlink" Target="https://www.sec.gov/Archives/edgar/data/1811216/000110465926102171/tm2622290d1_6k.htm" TargetMode="External"/><Relationship Id="rId22" Type="http://schemas.openxmlformats.org/officeDocument/2006/relationships/hyperlink" Target="https://www.sec.gov/Archives/edgar/data/1811216/000110465926104754/tm2624638d1_6k.htm" TargetMode="External"/><Relationship Id="rId23" Type="http://schemas.openxmlformats.org/officeDocument/2006/relationships/hyperlink" Target="https://www.sec.gov/Archives/edgar/data/1811216/000110465926104779/tm2624137d1_6k.htm" TargetMode="External"/><Relationship Id="rId24" Type="http://schemas.openxmlformats.org/officeDocument/2006/relationships/hyperlink" Target="https://www.sec.gov/Archives/edgar/data/1811216/000110465921010221/tm214907d1_8a12b.htm" TargetMode="External"/><Relationship Id="rId25" Type="http://schemas.openxmlformats.org/officeDocument/2006/relationships/hyperlink" Target="https://www.sec.gov/Archives/edgar/data/1811216/000110465926053161/baos-20251231xex2d3.htm" TargetMode="External"/><Relationship Id="rId26" Type="http://schemas.openxmlformats.org/officeDocument/2006/relationships/hyperlink" Target="https://www.sec.gov/Archives/edgar/data/1811216/000141057824000864/baos-20231231xex1d1.htm" TargetMode="External"/><Relationship Id="rId27" Type="http://schemas.openxmlformats.org/officeDocument/2006/relationships/hyperlink" Target="https://www.sec.gov/Archives/edgar/data/1811216/000141057824000864/baos-20231231xex1d1.htm" TargetMode="External"/><Relationship Id="rId28" Type="http://schemas.openxmlformats.org/officeDocument/2006/relationships/hyperlink" Target="https://www.sec.gov/Archives/edgar/data/1811216/000141057823000924/baos-20221231xex2d1.htm" TargetMode="External"/><Relationship Id="rId29" Type="http://schemas.openxmlformats.org/officeDocument/2006/relationships/hyperlink" Target="https://www.sec.gov/Archives/edgar/data/1811216/000141057823000924/baos-20221231xex2d1.htm" TargetMode="External"/><Relationship Id="rId30" Type="http://schemas.openxmlformats.org/officeDocument/2006/relationships/hyperlink" Target="https://www.sec.gov/Archives/edgar/data/1811216/000110465926072407/tm2617068d1_ex10-1.htm" TargetMode="External"/><Relationship Id="rId31" Type="http://schemas.openxmlformats.org/officeDocument/2006/relationships/hyperlink" Target="https://www.sec.gov/Archives/edgar/data/1811216/000110465926072407/tm2617068d1_ex10-1.htm" TargetMode="External"/><Relationship Id="rId32" Type="http://schemas.openxmlformats.org/officeDocument/2006/relationships/image" Target="media/image3.jpeg"/><Relationship Id="rId33" Type="http://schemas.openxmlformats.org/officeDocument/2006/relationships/image" Target="media/image4.jpeg"/><Relationship Id="rId34" Type="http://schemas.openxmlformats.org/officeDocument/2006/relationships/image" Target="media/image5.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23147</Words>
  <Characters>125862</Characters>
  <CharactersWithSpaces>149147</CharactersWithSpaces>
  <Paragraphs>2063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