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77d1_6k.htm"/>
      <w:bookmarkStart w:id="1" w:name="kstm262287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Security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Baosheng Media Group Holdings Limited, a company formed under the laws of the Cayman Islands (the “Company”), previously reported in a Current Report on Form 6-K filed with the U.S. Securities and Exchange Commission on July 13, 2026, the Company entered into a securities purchase agreement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dated July 10, 2026, with High West Partners LLC (the “Investor”). Under which, subject to the terms and conditions set forth therein, the Company may sell and issue, in its sole discretion, up to US$30,000,000 of the Company’s ordinary shares, par value US$0.0096 per share, to the Investor from time to time until the Maturity Date specified in the SPA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11(c) of the SPA, at any time after the Commencement Date, the SPA may be terminated by the Company by delivering written notice to the Investor (“</w:t>
      </w:r>
      <w:r>
        <w:rPr>
          <w:rFonts w:ascii="Times New Roman;Times;Serif" w:hAnsi="Times New Roman;Times;Serif"/>
          <w:b/>
          <w:i w:val="false"/>
          <w:caps w:val="false"/>
          <w:smallCaps w:val="false"/>
          <w:sz w:val="20"/>
        </w:rPr>
        <w:t>Termination Notice</w:t>
      </w:r>
      <w:r>
        <w:rPr>
          <w:rFonts w:ascii="Times New Roman;Times;Serif" w:hAnsi="Times New Roman;Times;Serif"/>
          <w:b w:val="false"/>
          <w:i w:val="false"/>
          <w:caps w:val="false"/>
          <w:smallCaps w:val="false"/>
          <w:sz w:val="20"/>
        </w:rPr>
        <w:t>”) for any reason or for no reason. The Termination Notice will not be effective until one Trading Day after it has been received by the Investor, and the termination is subject to the Company having satisfied all of its existing Purchase Notice Shares and Commitment Share delivery obligations, and any other obligations, prior to the termination date. Upon the Termination Notice becoming effective, the SPA shall become terminated and there shall be no liability or obligation on the part of any party to the SPA, subject to certain exceptions set forth in the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sent out the Termination Notice to the Investor, and the Investor confirmed its receipt on the same date. Accordingly, the Termination Notice will become effective, and the Offering will terminate, on August 12, 2026. Prior to such termination, 255,328 ordinary shares were sold or issued by the Company to the Investor under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including Exhibits 10.1 hereto, shall be deemed to be incorporated by reference into the registration statement on </w:t>
      </w:r>
      <w:hyperlink r:id="rId2">
        <w:r>
          <w:rPr>
            <w:rStyle w:val="InternetLink"/>
            <w:rFonts w:ascii="Times New Roman;Times;Serif" w:hAnsi="Times New Roman;Times;Serif"/>
            <w:b w:val="false"/>
            <w:i w:val="false"/>
            <w:caps w:val="false"/>
            <w:smallCaps w:val="false"/>
            <w:sz w:val="20"/>
          </w:rPr>
          <w:t>Form F-3 (File No. 333-273720)</w:t>
        </w:r>
      </w:hyperlink>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25"/>
        <w:gridCol w:w="60"/>
        <w:gridCol w:w="3515"/>
      </w:tblGrid>
      <w:tr>
        <w:trPr/>
        <w:tc>
          <w:tcPr>
            <w:tcW w:w="7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r>
      <w:tr>
        <w:trPr/>
        <w:tc>
          <w:tcPr>
            <w:tcW w:w="7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both"/>
              <w:rPr/>
            </w:pPr>
            <w:r>
              <w:rPr/>
              <w:t> </w:t>
            </w:r>
          </w:p>
        </w:tc>
        <w:tc>
          <w:tcPr>
            <w:tcW w:w="351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shd w:fill="CCEEFF" w:val="clear"/>
            <w:vAlign w:val="center"/>
          </w:tcPr>
          <w:p>
            <w:pPr>
              <w:pStyle w:val="TableContents"/>
              <w:bidi w:val="0"/>
              <w:spacing w:before="0" w:after="283"/>
              <w:jc w:val="both"/>
              <w:rPr/>
            </w:pPr>
            <w:hyperlink w:anchor="tm2622877d1_ex10-1.htm">
              <w:r>
                <w:rPr>
                  <w:rStyle w:val="InternetLink"/>
                  <w:rFonts w:ascii="Times New Roman;Times;Serif" w:hAnsi="Times New Roman;Times;Serif"/>
                  <w:sz w:val="20"/>
                </w:rPr>
                <w:t>10.1</w:t>
              </w:r>
            </w:hyperlink>
          </w:p>
        </w:tc>
        <w:tc>
          <w:tcPr>
            <w:tcW w:w="60" w:type="dxa"/>
            <w:tcBorders/>
            <w:shd w:fill="CCEEFF" w:val="clear"/>
            <w:vAlign w:val="center"/>
          </w:tcPr>
          <w:p>
            <w:pPr>
              <w:pStyle w:val="TableContents"/>
              <w:bidi w:val="0"/>
              <w:spacing w:before="0" w:after="283"/>
              <w:jc w:val="both"/>
              <w:rPr/>
            </w:pPr>
            <w:r>
              <w:rPr/>
              <w:t> </w:t>
            </w:r>
          </w:p>
        </w:tc>
        <w:tc>
          <w:tcPr>
            <w:tcW w:w="3515" w:type="dxa"/>
            <w:tcBorders/>
            <w:shd w:fill="CCEEFF" w:val="clear"/>
            <w:vAlign w:val="center"/>
          </w:tcPr>
          <w:p>
            <w:pPr>
              <w:pStyle w:val="TableContents"/>
              <w:bidi w:val="0"/>
              <w:spacing w:before="0" w:after="283"/>
              <w:jc w:val="both"/>
              <w:rPr/>
            </w:pPr>
            <w:hyperlink w:anchor="tm2622877d1_ex10-1.htm">
              <w:r>
                <w:rPr>
                  <w:rStyle w:val="InternetLink"/>
                  <w:rFonts w:ascii="Times New Roman;Times;Serif" w:hAnsi="Times New Roman;Times;Serif"/>
                  <w:sz w:val="20"/>
                </w:rPr>
                <w:t>Termination Notice dated August 11,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authorised.</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545"/>
        <w:gridCol w:w="4385"/>
      </w:tblGrid>
      <w:tr>
        <w:trPr/>
        <w:tc>
          <w:tcPr>
            <w:tcW w:w="7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 xml:space="preserve">Baosheng Media Group Holdings Limited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283"/>
        <w:jc w:val="left"/>
        <w:rPr/>
      </w:pPr>
      <w:r>
        <w:rPr/>
        <w:t> </w:t>
      </w:r>
    </w:p>
    <w:p>
      <w:pPr>
        <w:pStyle w:val="TextBody"/>
        <w:bidi w:val="0"/>
        <w:jc w:val="left"/>
        <w:rPr/>
      </w:pPr>
      <w:bookmarkStart w:id="2" w:name="tm2622877d1_ex10-1.htm"/>
      <w:bookmarkStart w:id="3" w:name="kstm2622877d1_ex101"/>
      <w:bookmarkEnd w:id="2"/>
      <w:bookmarkEnd w:id="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TERMINATION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Securities Purchase Agreement, (“SPA”), dated as of July 10, 2026, by and between Baosheng Media Group Holdings Limited, a company formed under the laws of the Cayman Islands (the “Company”), and High West Partners LLC (the “Investor” and, together with the Company, the “Parties” and each,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 (c) of the SPA, the Company hereby elects to terminate the SPA for any reason or for no reason. This Termination Notice shall not be effective until one Trading Day after it has been received by the Investor, and is subject to the Company having satisfied all of its existing Purchase Notice Shares and Commitment Share delivery obligations, and any other obligations, prior to the termination date. This Termination Notice shall become effective, and the SPA shall terminate, one Trading Day after the Investor’s receipt of this Company Termination Notice (the “Effective Date”), without further cost or obligation to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Termination Notice as of the date first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Company:</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28" w:type="dxa"/>
          <w:right w:w="0" w:type="dxa"/>
        </w:tblCellMar>
      </w:tblPr>
      <w:tblGrid>
        <w:gridCol w:w="605"/>
        <w:gridCol w:w="4370"/>
        <w:gridCol w:w="75"/>
      </w:tblGrid>
      <w:tr>
        <w:trPr/>
        <w:tc>
          <w:tcPr>
            <w:tcW w:w="497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Lina Jiang</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Chairperson of the Board and 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3818</Characters>
  <CharactersWithSpaces>4555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