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568960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Commission File Number 001-39977</w:t>
      </w:r>
    </w:p>
    <w:p>
      <w:pPr>
        <w:spacing w:after="0" w:line="200"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32"/>
          <w:szCs w:val="32"/>
          <w:b w:val="1"/>
          <w:bCs w:val="1"/>
          <w:color w:val="auto"/>
        </w:rPr>
        <w:t>Baosheng Media Group Holdings Limited</w:t>
      </w:r>
    </w:p>
    <w:p>
      <w:pPr>
        <w:spacing w:after="0" w:line="26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East Floor 5</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Building No. 8, Xishanhui</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Shijingshan District, Beijing 100041</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+86-010-82088021</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9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591820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154940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79"/>
          </w:cols>
          <w:pgMar w:left="980" w:top="98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Financial Results as of June 30, 2025 and for the six months ended June 30, 2025 and 2024</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Baosheng Media Group Holdings Limited, an exempted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furnishing this Form 6-K to provide its unaudited condensed consolidated financial statements as of June 30, 2025 and for the six months ended June 30, 2025 and 2024, and incorporate such financial statements into the Company’s registration statement referenced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U.S. and Cayman Islands Proceedings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on the Company’s Annual Report on Form 20-F for the year ended December 31, 2024, on March 1, 2024, the Company was served with complaint by certain institutional investors in the United States District Court of the Southern District of New York (the “</w:t>
      </w:r>
      <w:r>
        <w:rPr>
          <w:rFonts w:ascii="Times New Roman" w:cs="Times New Roman" w:eastAsia="Times New Roman" w:hAnsi="Times New Roman"/>
          <w:sz w:val="18"/>
          <w:szCs w:val="18"/>
          <w:b w:val="1"/>
          <w:bCs w:val="1"/>
          <w:color w:val="auto"/>
        </w:rPr>
        <w:t>SDNY</w:t>
      </w:r>
      <w:r>
        <w:rPr>
          <w:rFonts w:ascii="Times New Roman" w:cs="Times New Roman" w:eastAsia="Times New Roman" w:hAnsi="Times New Roman"/>
          <w:sz w:val="18"/>
          <w:szCs w:val="18"/>
          <w:color w:val="auto"/>
        </w:rPr>
        <w:t>”) alleging misstatements related to the Company’s initial public offering and breach of contract regarding the sale and purchase agreement for certain shares. The plaintiffs are seeking approximately US$16 million in damages, exclusive of interest and attorney fees. As of the date of this report, the SDNY has denied the Company’s motion to dismiss the complaint, and the litigation is proceeding to the next phase of answering the complaint and discovery.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separate Cayman Islands proceeding, on April 10, 2024, Orient Plus International Limited filed with the Grand Court of the Cayman Islands (the “</w:t>
      </w:r>
      <w:r>
        <w:rPr>
          <w:rFonts w:ascii="Times New Roman" w:cs="Times New Roman" w:eastAsia="Times New Roman" w:hAnsi="Times New Roman"/>
          <w:sz w:val="18"/>
          <w:szCs w:val="18"/>
          <w:b w:val="1"/>
          <w:bCs w:val="1"/>
          <w:color w:val="auto"/>
        </w:rPr>
        <w:t>Grand Court</w:t>
      </w:r>
      <w:r>
        <w:rPr>
          <w:rFonts w:ascii="Times New Roman" w:cs="Times New Roman" w:eastAsia="Times New Roman" w:hAnsi="Times New Roman"/>
          <w:sz w:val="18"/>
          <w:szCs w:val="18"/>
          <w:color w:val="auto"/>
        </w:rPr>
        <w:t>”) a winding up petition seeking the dissolution of the Company. The Company filed an application to strike out such petition, which was dismissed by the Grand Court. The matter has therefore proceeded to trial. As of the date of this report, the parties are in the midst of discovery.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represented by legal counsel with respect to these proceedings in both the U.S. and the Cayman Islands, and intends to vigorously contest the claims and continue to defend its positions.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China Proceeding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reported on the Company’s Form 6-K filed with the U.S. Securities and Exchange Commission on July 2, 2025, a director of the Company was served with a complaint filed by three institutional investors in the Beijing Fourth Intermediate People’s Court, alleging five defendants, including the director, engaged in corporate mismanagement that caused a significant decline in the value of the Company’s stock held by the investor, and seeking damages of RMB 47,249,848 (approximately US$6.59 million). As of the date of this report, the Beijing Fourth Intermediate People’s Court has split the case into three separate cases, with each of the three institutional investors serving as plaintiff, and transferred these three cases to the Beijing Shijingshan District People’s Court for trial. The claims and defendants in the three cases remain unchanged, with the case amounts adjusted to RMB 12,245,087, RMB 14,001,912, and RMB 21,002,849, respectively. Currently, the three cases have not yet been formally accepted and filed by the Beijing Shijingshan District People’s Court.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Risk Factor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light of recent events, the Company hereby furnishes an updated risk factor in addition to the risk factors previously included in “</w:t>
      </w:r>
      <w:r>
        <w:rPr>
          <w:rFonts w:ascii="Times New Roman" w:cs="Times New Roman" w:eastAsia="Times New Roman" w:hAnsi="Times New Roman"/>
          <w:sz w:val="18"/>
          <w:szCs w:val="18"/>
          <w:i w:val="1"/>
          <w:iCs w:val="1"/>
          <w:color w:val="auto"/>
        </w:rPr>
        <w:t>Item</w:t>
      </w:r>
    </w:p>
    <w:p>
      <w:pPr>
        <w:spacing w:after="0" w:line="29" w:lineRule="exact"/>
        <w:rPr>
          <w:sz w:val="20"/>
          <w:szCs w:val="20"/>
          <w:color w:val="auto"/>
        </w:rPr>
      </w:pPr>
    </w:p>
    <w:p>
      <w:pPr>
        <w:jc w:val="both"/>
        <w:ind w:firstLine="8"/>
        <w:spacing w:after="0" w:line="255" w:lineRule="auto"/>
        <w:tabs>
          <w:tab w:leader="none" w:pos="18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Key Information—3.D. Risk Factors</w:t>
      </w:r>
      <w:r>
        <w:rPr>
          <w:rFonts w:ascii="Times New Roman" w:cs="Times New Roman" w:eastAsia="Times New Roman" w:hAnsi="Times New Roman"/>
          <w:sz w:val="18"/>
          <w:szCs w:val="18"/>
          <w:color w:val="auto"/>
        </w:rPr>
        <w:t>” of the Company’s annual report on Form 20-F for the fiscal year ended December 31, 2024,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U.S. Securities and Exchange Commission on April 29, 2025, and other filings with the U.S.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expenses incurred in litigation increase our operational costs and adversely affect our cash flow.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ongoing litigation in which we are involved in mainland China, the Cayman Islands and the United States, we have incurred substantial legal fees and expenses. These legal expenses have increased the our operating costs and have reduced the capital available for our other business activities. Adequate cash flow is critical to the our ability to operate and to support our short-term and long-term business growth strategies, including, particularly, the prepayment for client services and fulfilment of our payment obligations to suppliers in the online marketing business. If the Company’s cash flow is insufficient, it may not be able to meet these payment obligations, which could result in a loss of customers and key suppliers, and materially adversely affect the Company’s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748665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1"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6-K and the exhibits hereto contain certain forward-looking statements made pursuant to the safe harbor provisions of the Private Securities Litigation Reform Act of 1995.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“approximates,” “assesses,” “believes,” “hopes,” “expects,” “anticipates,” “estimates,” “projects,” “intends,” “plans,” “will,” “would,” “should,” “could,” “may” or similar expressions.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these statements are based on assumptions about factors that are beyond the Company’s ability to control or predict and are subject to significant risks and uncertainties that are described more fully in “</w:t>
      </w:r>
      <w:r>
        <w:rPr>
          <w:rFonts w:ascii="Times New Roman" w:cs="Times New Roman" w:eastAsia="Times New Roman" w:hAnsi="Times New Roman"/>
          <w:sz w:val="18"/>
          <w:szCs w:val="18"/>
          <w:i w:val="1"/>
          <w:iCs w:val="1"/>
          <w:color w:val="auto"/>
        </w:rPr>
        <w:t>Item 3. Key Information—3.D. Risk Factors</w:t>
      </w:r>
      <w:r>
        <w:rPr>
          <w:rFonts w:ascii="Times New Roman" w:cs="Times New Roman" w:eastAsia="Times New Roman" w:hAnsi="Times New Roman"/>
          <w:sz w:val="18"/>
          <w:szCs w:val="18"/>
          <w:color w:val="auto"/>
        </w:rPr>
        <w:t>” of our annual report on Form 20-F for the fiscal year ended December 31, 2024, filed with the U.S. Securities and Exchange Commission on April 29, 2025. Any of these factors or a combination of these factors could materially affect our future results of operations and the ultimate accuracy of the forward-looking statements. Fluctuations in our future financial results may negatively impact the value of our ordinary shares. Should any of these risks or uncertainties materialize, should any of our assumptions prove incorrect, or should we be unable to address any of the foregoing factors, our actual results may vary in material and adverse respects from those projected in these forward-looking statements. Consequently, there can be no assurance that actual results or developments anticipated by us will be realized or, even if substantially realized, that they will have the expected consequences to, or effects, on us. Given these uncertainties, prospective investors are cautioned not to place undue reliance on such forward-looking statements.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annual report and other filings with the U.S. Securities and Exchange Commission. As a result, you are cautioned not to rely on any forward-looking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of foreign private issuer on Form 6-K is hereby incorporated by reference into the registration statement on </w:t>
      </w:r>
      <w:hyperlink r:id="rId14">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Company (File Number 333-273720), as amended, and into the prospectus outstanding under the foregoing registration statement, to the extent not superseded by documents or reports subsequently filed or furnished by the Company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760095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0" w:type="dxa"/>
            <w:vAlign w:val="bottom"/>
          </w:tcPr>
          <w:p>
            <w:pPr>
              <w:spacing w:after="0"/>
              <w:rPr>
                <w:sz w:val="15"/>
                <w:szCs w:val="15"/>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0000EE"/>
            </w:tcBorders>
            <w:shd w:val="clear" w:color="auto" w:fill="CCEEFF"/>
          </w:tcPr>
          <w:p>
            <w:pPr>
              <w:spacing w:after="0"/>
              <w:rPr>
                <w:sz w:val="14"/>
                <w:szCs w:val="14"/>
                <w:color w:val="auto"/>
              </w:rPr>
            </w:pPr>
          </w:p>
        </w:tc>
        <w:tc>
          <w:tcPr>
            <w:tcW w:w="8700" w:type="dxa"/>
            <w:vAlign w:val="bottom"/>
            <w:tcBorders>
              <w:top w:val="single" w:sz="8" w:color="auto"/>
              <w:bottom w:val="single" w:sz="8" w:color="0000EE"/>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Unaudited Condensed Consolidated Financial Statements as of June 30, 2025 and for the Six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72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2025 and 2024.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5"/>
                <w:szCs w:val="15"/>
                <w:color w:val="auto"/>
              </w:rPr>
            </w:pPr>
          </w:p>
        </w:tc>
        <w:tc>
          <w:tcPr>
            <w:tcW w:w="872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 in Connection with the Unaudited Condensed Consolidated Financial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Statements for the Six Months Ended June 30, 2025 and 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380" w:type="dxa"/>
            <w:vAlign w:val="bottom"/>
            <w:tcBorders>
              <w:top w:val="single" w:sz="8" w:color="0000EE"/>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shd w:val="clear" w:color="auto" w:fill="CCEEFF"/>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8"/>
                <w:szCs w:val="18"/>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shd w:val="clear" w:color="auto" w:fill="CCEEFF"/>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18"/>
                <w:szCs w:val="18"/>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shd w:val="clear" w:color="auto" w:fill="CCEEFF"/>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8"/>
                <w:szCs w:val="18"/>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033"/>
        </w:trPr>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2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Lina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18415</wp:posOffset>
            </wp:positionV>
            <wp:extent cx="5983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Name:Lina Jiang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Chairwoman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771525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560" w:type="dxa"/>
            <w:vAlign w:val="bottom"/>
          </w:tcPr>
          <w:p>
            <w:pPr>
              <w:jc w:val="center"/>
              <w:ind w:left="2247"/>
              <w:spacing w:after="0"/>
              <w:rPr>
                <w:sz w:val="20"/>
                <w:szCs w:val="20"/>
                <w:color w:val="auto"/>
              </w:rPr>
            </w:pPr>
            <w:r>
              <w:rPr>
                <w:rFonts w:ascii="Times New Roman" w:cs="Times New Roman" w:eastAsia="Times New Roman" w:hAnsi="Times New Roman"/>
                <w:sz w:val="18"/>
                <w:szCs w:val="18"/>
                <w:b w:val="1"/>
                <w:bCs w:val="1"/>
                <w:color w:val="auto"/>
                <w:w w:val="99"/>
              </w:rPr>
              <w:t>BAOSHENG MEDIA GROUP HOLDINGS LIMITED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jc w:val="center"/>
              <w:ind w:left="2247"/>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560" w:type="dxa"/>
            <w:vAlign w:val="bottom"/>
          </w:tcPr>
          <w:p>
            <w:pPr>
              <w:jc w:val="center"/>
              <w:ind w:left="2247"/>
              <w:spacing w:after="0"/>
              <w:rPr>
                <w:sz w:val="20"/>
                <w:szCs w:val="20"/>
                <w:color w:val="auto"/>
              </w:rPr>
            </w:pPr>
            <w:r>
              <w:rPr>
                <w:rFonts w:ascii="Times New Roman" w:cs="Times New Roman" w:eastAsia="Times New Roman" w:hAnsi="Times New Roman"/>
                <w:sz w:val="18"/>
                <w:szCs w:val="18"/>
                <w:b w:val="1"/>
                <w:bCs w:val="1"/>
                <w:color w:val="auto"/>
                <w:w w:val="99"/>
              </w:rPr>
              <w:t>(Expressed in U.S. dollar, except for the number of shares)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24"/>
                <w:szCs w:val="24"/>
                <w:color w:val="auto"/>
              </w:rPr>
            </w:pPr>
          </w:p>
        </w:tc>
        <w:tc>
          <w:tcPr>
            <w:tcW w:w="980" w:type="dxa"/>
            <w:vAlign w:val="bottom"/>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jc w:val="center"/>
              <w:ind w:right="167"/>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1,220,870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1,480,528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446,950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1,326,241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4,103,151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Prepayments - third parties</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615,811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Media deposits - third parties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465,504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265,784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Due from related parties</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Deposit due from a third party</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2,791,892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2,739,989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2,559,164</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2,592,048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11,649,465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12,712,574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6,620,978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6,576,688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1,689,799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1,717,488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170,130</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241,212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20,130,372</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21,247,962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jc w:val="center"/>
              <w:ind w:right="167"/>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 bank borrowings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684,997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6,987,600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3,618,790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Advance from advertisers</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485,016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754,837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Advertiser deposits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663,940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314,578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261,496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Due to related parties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830,709</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791,780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9,232,290</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6,424,204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9,232,290</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6,424,204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5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(par value $0.0096 per share, 1,000,000,000 shares authorized; 1,534,487 shares issued and outstanding at</w:t>
            </w:r>
          </w:p>
        </w:tc>
        <w:tc>
          <w:tcPr>
            <w:tcW w:w="1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14,731</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30, 2025 and December 31, 2024, respectively)</w:t>
            </w: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41,564,418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41,564,418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Statutory reserve</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898,133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898,133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deficits</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(27,634,680)</w:t>
            </w: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(23,458,777)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(3,944,520)</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(4,194,747)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10,898,082</w:t>
            </w: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14,823,758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20,130,372</w:t>
            </w: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21,247,962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 except for the number of shares and per share data)</w:t>
      </w:r>
    </w:p>
    <w:p>
      <w:pPr>
        <w:spacing w:after="0" w:line="214"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(231,311)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51,728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(1,488,283)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reversal of expected credit losses</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(2,656,130)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(4,279,311)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(1,322,382)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(4,227,583)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(1,476,036)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short-term investments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Subsidy income</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(Expenses), Net</w:t>
            </w: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51,680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(4,175,903)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(1,740,418)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(4,175,903)</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(1,740,418)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(3,925,676)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(2,670,520)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 outstanding</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643255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 except for the number of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960" w:type="dxa"/>
            <w:vAlign w:val="bottom"/>
            <w:gridSpan w:val="2"/>
            <w:vMerge w:val="continue"/>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Deficits)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Reserve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1,534,487</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$ 14,731</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$ 41,564,418</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$ 898,133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(23,458,777)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(4,194,747)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14,823,758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(4,175,903)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(4,175,903)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250,227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2025 (unaudited)</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1,534,487</w:t>
            </w:r>
          </w:p>
        </w:tc>
        <w:tc>
          <w:tcPr>
            <w:tcW w:w="1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$ 14,731</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$ 41,564,418</w:t>
            </w:r>
          </w:p>
        </w:tc>
        <w:tc>
          <w:tcPr>
            <w:tcW w:w="14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$ 898,133</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(27,634,680)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(3,944,520)</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10,898,082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1,534,487</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$ 14,731</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$ 41,564,418</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$ 898,133</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3,412,457</w:t>
            </w:r>
          </w:p>
        </w:tc>
        <w:tc>
          <w:tcPr>
            <w:tcW w:w="80" w:type="dxa"/>
            <w:vAlign w:val="bottom"/>
          </w:tcPr>
          <w:p>
            <w:pPr>
              <w:spacing w:after="0"/>
              <w:rPr>
                <w:sz w:val="12"/>
                <w:szCs w:val="12"/>
                <w:color w:val="auto"/>
              </w:rPr>
            </w:pP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(3,529,628)</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42,360,111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(1,740,418)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(1,740,418)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(930,102)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(930,102)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2024 (unaudited)</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1,534,487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$ 14,731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$ 41,564,418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$ 898,133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1,672,039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(4,459,730)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39,689,591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643255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BAOSHENG MEDIA GROUP HOLDINGS LIMITED UNAUDITED CONDENED CONSOLIDATED STATEMENTS OF CASH FLOWS (Expressed in U.S. dollar)</w:t>
      </w:r>
    </w:p>
    <w:p>
      <w:pPr>
        <w:spacing w:after="0" w:line="182"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(544,786)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(413,645)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short-term investments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loans from related parties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933,867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borrowings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(689,408)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(689,408)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(259,658)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5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1,480,528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1,220,870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2,889,830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expenses</w:t>
            </w:r>
          </w:p>
        </w:tc>
        <w:tc>
          <w:tcPr>
            <w:tcW w:w="1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20" w:type="dxa"/>
            <w:vAlign w:val="bottom"/>
          </w:tcPr>
          <w:p>
            <w:pPr>
              <w:spacing w:after="0"/>
              <w:rPr>
                <w:sz w:val="22"/>
                <w:szCs w:val="22"/>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Cash paid for income tax</w:t>
            </w: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 DESCRIPTION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Baosheng Media Group Holdings Limited (“Baosheng Group” or the “Company”) was incorporated on December 4, 2018 under the laws of the Cayman Islands as an exempted company with limited liability. Baosheng Group, through its subsidiaries in the PRC, is engaged in providing online marketing channels to advertisers for them to manage their online marketing activities.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accompanying condensed consolidated financial statements reflect the activities of Baosheng Group and each of the following entities: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3"/>
        </w:trPr>
        <w:tc>
          <w:tcPr>
            <w:tcW w:w="2880" w:type="dxa"/>
            <w:vAlign w:val="bottom"/>
            <w:gridSpan w:val="2"/>
            <w:vMerge w:val="continue"/>
          </w:tcPr>
          <w:p>
            <w:pPr>
              <w:spacing w:after="0"/>
              <w:rPr>
                <w:sz w:val="15"/>
                <w:szCs w:val="15"/>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Parent company:</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Baosheng Group</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December 4, 2018</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Cayman Islands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Parent</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Investment holding</w:t>
            </w:r>
          </w:p>
        </w:tc>
        <w:tc>
          <w:tcPr>
            <w:tcW w:w="0" w:type="dxa"/>
            <w:vAlign w:val="bottom"/>
          </w:tcPr>
          <w:p>
            <w:pPr>
              <w:spacing w:after="0"/>
              <w:rPr>
                <w:sz w:val="1"/>
                <w:szCs w:val="1"/>
                <w:color w:val="auto"/>
              </w:rPr>
            </w:pPr>
          </w:p>
        </w:tc>
      </w:tr>
      <w:tr>
        <w:trPr>
          <w:trHeight w:val="194"/>
        </w:trPr>
        <w:tc>
          <w:tcPr>
            <w:tcW w:w="28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Wholly owned subsidiaries of</w:t>
            </w:r>
          </w:p>
        </w:tc>
        <w:tc>
          <w:tcPr>
            <w:tcW w:w="1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Baosheng Group</w:t>
            </w:r>
          </w:p>
        </w:tc>
        <w:tc>
          <w:tcPr>
            <w:tcW w:w="1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Baosheng Media Group Limited</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(“Baosheng BVI”)</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December 14, 2018</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British Virgin Islands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Investment holding</w:t>
            </w:r>
          </w:p>
        </w:tc>
        <w:tc>
          <w:tcPr>
            <w:tcW w:w="0" w:type="dxa"/>
            <w:vAlign w:val="bottom"/>
          </w:tcPr>
          <w:p>
            <w:pPr>
              <w:spacing w:after="0"/>
              <w:rPr>
                <w:sz w:val="1"/>
                <w:szCs w:val="1"/>
                <w:color w:val="auto"/>
              </w:rPr>
            </w:pPr>
          </w:p>
        </w:tc>
      </w:tr>
      <w:tr>
        <w:trPr>
          <w:trHeight w:val="198"/>
        </w:trPr>
        <w:tc>
          <w:tcPr>
            <w:tcW w:w="2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Baosheng Media Group (Hong</w:t>
            </w: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Kong) Holdings Limited</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(“Baosheng HK”)</w:t>
            </w:r>
          </w:p>
        </w:tc>
        <w:tc>
          <w:tcPr>
            <w:tcW w:w="1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January 7, 2019</w:t>
            </w:r>
          </w:p>
        </w:tc>
        <w:tc>
          <w:tcPr>
            <w:tcW w:w="1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Hong Kong</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Investment holding</w:t>
            </w:r>
          </w:p>
        </w:tc>
        <w:tc>
          <w:tcPr>
            <w:tcW w:w="0" w:type="dxa"/>
            <w:vAlign w:val="bottom"/>
          </w:tcPr>
          <w:p>
            <w:pPr>
              <w:spacing w:after="0"/>
              <w:rPr>
                <w:sz w:val="1"/>
                <w:szCs w:val="1"/>
                <w:color w:val="auto"/>
              </w:rPr>
            </w:pPr>
          </w:p>
        </w:tc>
      </w:tr>
      <w:tr>
        <w:trPr>
          <w:trHeight w:val="198"/>
        </w:trPr>
        <w:tc>
          <w:tcPr>
            <w:tcW w:w="2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Beijing Baosheng Technology</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Company Limited (“Beijing</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Baosheng”)</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October 17, 2014</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PRC</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Provision of online marketing channels</w:t>
            </w:r>
          </w:p>
        </w:tc>
        <w:tc>
          <w:tcPr>
            <w:tcW w:w="0" w:type="dxa"/>
            <w:vAlign w:val="bottom"/>
          </w:tcPr>
          <w:p>
            <w:pPr>
              <w:spacing w:after="0"/>
              <w:rPr>
                <w:sz w:val="1"/>
                <w:szCs w:val="1"/>
                <w:color w:val="auto"/>
              </w:rPr>
            </w:pPr>
          </w:p>
        </w:tc>
      </w:tr>
      <w:tr>
        <w:trPr>
          <w:trHeight w:val="198"/>
        </w:trPr>
        <w:tc>
          <w:tcPr>
            <w:tcW w:w="2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Horgos Baosheng Advertising Co.,</w:t>
            </w: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Ltd. (“Horgos Baosheng”)</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August 30, 2016</w:t>
            </w:r>
          </w:p>
        </w:tc>
        <w:tc>
          <w:tcPr>
            <w:tcW w:w="17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PRC</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Provision of online marketing channels</w:t>
            </w:r>
          </w:p>
        </w:tc>
        <w:tc>
          <w:tcPr>
            <w:tcW w:w="0" w:type="dxa"/>
            <w:vAlign w:val="bottom"/>
          </w:tcPr>
          <w:p>
            <w:pPr>
              <w:spacing w:after="0"/>
              <w:rPr>
                <w:sz w:val="1"/>
                <w:szCs w:val="1"/>
                <w:color w:val="auto"/>
              </w:rPr>
            </w:pPr>
          </w:p>
        </w:tc>
      </w:tr>
      <w:tr>
        <w:trPr>
          <w:trHeight w:val="198"/>
        </w:trPr>
        <w:tc>
          <w:tcPr>
            <w:tcW w:w="2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Baosheng Technology (Horgos) Co.,</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Ltd. (“Baosheng Technology”)</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January 2, 2020</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PRC</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Provision of online marketing channels</w:t>
            </w:r>
          </w:p>
        </w:tc>
        <w:tc>
          <w:tcPr>
            <w:tcW w:w="0" w:type="dxa"/>
            <w:vAlign w:val="bottom"/>
          </w:tcPr>
          <w:p>
            <w:pPr>
              <w:spacing w:after="0"/>
              <w:rPr>
                <w:sz w:val="1"/>
                <w:szCs w:val="1"/>
                <w:color w:val="auto"/>
              </w:rPr>
            </w:pPr>
          </w:p>
        </w:tc>
      </w:tr>
      <w:tr>
        <w:trPr>
          <w:trHeight w:val="198"/>
        </w:trPr>
        <w:tc>
          <w:tcPr>
            <w:tcW w:w="2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Baosheng Network</w:t>
            </w: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Co., Ltd. (“Baosheng</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w:t>
            </w:r>
          </w:p>
        </w:tc>
        <w:tc>
          <w:tcPr>
            <w:tcW w:w="1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March 21, 2021</w:t>
            </w:r>
          </w:p>
        </w:tc>
        <w:tc>
          <w:tcPr>
            <w:tcW w:w="17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PRC</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Provision of online marketing channels</w:t>
            </w:r>
          </w:p>
        </w:tc>
        <w:tc>
          <w:tcPr>
            <w:tcW w:w="0" w:type="dxa"/>
            <w:vAlign w:val="bottom"/>
          </w:tcPr>
          <w:p>
            <w:pPr>
              <w:spacing w:after="0"/>
              <w:rPr>
                <w:sz w:val="1"/>
                <w:szCs w:val="1"/>
                <w:color w:val="auto"/>
              </w:rPr>
            </w:pPr>
          </w:p>
        </w:tc>
      </w:tr>
      <w:tr>
        <w:trPr>
          <w:trHeight w:val="198"/>
        </w:trPr>
        <w:tc>
          <w:tcPr>
            <w:tcW w:w="2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Beijing Xunhuo E-commerce Co.,</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Ltd. (“Beijing Xunhuo”)</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April 2, 2022</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PRC</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Live streaming</w:t>
            </w:r>
          </w:p>
        </w:tc>
        <w:tc>
          <w:tcPr>
            <w:tcW w:w="0" w:type="dxa"/>
            <w:vAlign w:val="bottom"/>
          </w:tcPr>
          <w:p>
            <w:pPr>
              <w:spacing w:after="0"/>
              <w:rPr>
                <w:sz w:val="1"/>
                <w:szCs w:val="1"/>
                <w:color w:val="auto"/>
              </w:rPr>
            </w:pPr>
          </w:p>
        </w:tc>
      </w:tr>
      <w:tr>
        <w:trPr>
          <w:trHeight w:val="198"/>
        </w:trPr>
        <w:tc>
          <w:tcPr>
            <w:tcW w:w="2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Zhiding Baosheng Network</w:t>
            </w: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Co. Ltd. (“Zhiding</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Baosheng”)</w:t>
            </w:r>
          </w:p>
        </w:tc>
        <w:tc>
          <w:tcPr>
            <w:tcW w:w="1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March 4, 2025</w:t>
            </w:r>
          </w:p>
        </w:tc>
        <w:tc>
          <w:tcPr>
            <w:tcW w:w="17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PRC</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Network services</w:t>
            </w:r>
          </w:p>
        </w:tc>
        <w:tc>
          <w:tcPr>
            <w:tcW w:w="0" w:type="dxa"/>
            <w:vAlign w:val="bottom"/>
          </w:tcPr>
          <w:p>
            <w:pPr>
              <w:spacing w:after="0"/>
              <w:rPr>
                <w:sz w:val="1"/>
                <w:szCs w:val="1"/>
                <w:color w:val="auto"/>
              </w:rPr>
            </w:pPr>
          </w:p>
        </w:tc>
      </w:tr>
      <w:tr>
        <w:trPr>
          <w:trHeight w:val="198"/>
        </w:trPr>
        <w:tc>
          <w:tcPr>
            <w:tcW w:w="2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Yuansheng Meiyan Healthcare</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(Hainan) Co., Ltd.</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(“Yuansheng Meiyan”)</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April 24, 2025</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PRC</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Healthcare services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Zhiding Baosheng and Yuansheng Meiyuan did not commence operations.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May 2025, the Company dissolved the business of Kashi Baosheng Information Technology Co., Ltd. (“Kashi Baosheng”). The management believed the dissolution of Kashi Baosheng did not represent a strategic shift that has (or will have) a major effect on the Company’s operations and financial results. The dissolution was not accounted as discontinued operations in accordance with ASC 205-</w:t>
      </w:r>
    </w:p>
    <w:p>
      <w:pPr>
        <w:spacing w:after="0" w:line="1" w:lineRule="exact"/>
        <w:rPr>
          <w:sz w:val="20"/>
          <w:szCs w:val="20"/>
          <w:color w:val="auto"/>
        </w:rPr>
      </w:pPr>
    </w:p>
    <w:p>
      <w:pPr>
        <w:jc w:val="both"/>
        <w:ind w:firstLine="8"/>
        <w:spacing w:after="0" w:line="255" w:lineRule="auto"/>
        <w:tabs>
          <w:tab w:leader="none" w:pos="2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dissolution, Kashi Baosheng recorded net assets of $3,772. The Company recognized the loss of $3,725 dissolution of Kashi Baosheng in the account of “other loss, net” on the unaudited condensed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592455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 w:name="page11"/>
    <w:bookmarkEnd w:id="10"/>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interim unaudited condensed consolidated financial statements are prepared and presented in accordance with accounting principles generally accepted in the United States (“US GAAP”).</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information as of June 30, 2025 and for the six months ended June 30, 2025 and 2024 has been prepared without audit, pursuant to the rules and regulations of the U.S. Securities and Exchange Commission (the “SEC”) and pursuant to Regulation S-X. Certain information and footnote disclosures, which are normally included in annual financial statements prepared in accordance with US GAAP, have been omitted pursuant to those rules and regulations. The unaudited interim financial information should be read in conjunction with the audited financial statements and the notes thereto, included in the Form 20-F for the fiscal year ended December 31, 2024, which was filed with the SEC on April 29,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opinion of the management, the accompanying unaudited condensed consolidated financial statements reflect all normal recurring adjustments, which are necessary for a fair presentation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2024. The results of operations for the six months ended June 30, 2025 and 2024 are not necessarily indicative of the results for the full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recorded at the gross billing amount less an allowance for credit losses against any uncollectible accounts due from the advertisers for the acquisition of ad inventory and other advertising services on their behalf. Accounts receivable does not bear interest.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an allowance for credit losses and records the allowance for credit losses as an offset to accounts receivable and the estimated credit losses charged to the allowance is classified as “provision for expected credit losses” in the condensed consolidated statements of operations and comprehensive loss. The Company assesses collectability by reviewing accounts receivable on aging schedules because the accounts receivable were primarily consisted of accounts due from the advertisers for the acquisition of ad inventory and other advertising services on their behalf. In determining the amount of the allowance for credit losses, the Company considers historical collectability based on past due status, the age of the balances, current economic conditions, reasonable and supportable forecasts of future economic conditions, and other factors that may affect the Company’s ability to collect from customers. Delinquent account balances are written-off against the allowance for expected credit loss after management has determined that the likelihood of collection is not probable.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Company provided allowance for expected credit losses of $2,694,737 for accounts receivable. For the six months ended June 30, 2024, the Company reversed allowance for expected credit losses of $749,688 for accounts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 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Media deposits represent performance security deposit upon becoming an authorized agency of the relevant media (platforms where online advertisement is delivered) as a guarantee of performance and obligations and deposit associated with committed advertising spend on behalf of selected advertisers as required by certain media before running their advertising campaigns, which are paid to media pursuant to the terms of the framework agreements and contracts.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the advertisers or their advertising agencies on behalf of their advertising clients (collectively the “advertisers”) commit to spending a guaranteed minimum amount on a particular media with the Company, the Company enters into a back-to-back framework agreement with the relevant publishers committing the same level of guaranteed minimum spend and securing a preferential rebate policy applicable to the advertising spend of that advertiser. With the committed minimum spend, the Company is entitled to enjoy certain rebates and discounts and usually be required to pay a deposit of up to 10% of the guaranteed minimum spend. If the Company fails to fulfil the committed minimum spend, the Company would not be entitled to the additional rebates and discounts, and any deposit that has been paid may be forfeited or deducted to pay up the additional amount without the benefit of the additional rebates and discounts. The media may deduct damages from performance security deposit if the Company has breached the agency agreement or authorized agency management rules and conditions formulated by media.</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balances of media deposits paid to third parties were $465,504 and $265,784,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465455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 w:name="page12"/>
    <w:bookmarkEnd w:id="11"/>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Advertiser deposits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advertiser deposits represented deposits made by the advertisers who undertake a minimum total advertising spend as a condition for enjoying rebates and discounts. The Company generally requires these advertisers to place deposits with the Company at a percentage (usually up to 10%) of the committed spend, which usually equals to the amount of deposit payable to the media under the corresponding framework agreement with the media specific to such advertiser (see note 2 – media deposits). If the advertiser fails to reach the committed minimum spend upon expiry or termination of the framework agreement; (i) the advertiser would not be entitled to the rebates and discounts under the preferential pricing policy, if any; (ii) the advertiser’s deposit may be forfeited or deducted to pay up the additional amount it should pay without the benefits of rebates or discounts.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 balances of advertiser deposits were $663,940 and $314,578,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revenues in accordance with ASC 606, Revenue from Contracts with Customers (“ASC 606”), which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 In according with ASC 606, revenues are recognized when control of the promised services is transferred to customers, in an amount that reflects the consideration the Company expects to be entitled to in exchange for those services.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identified each distinct service, or each series of distinct services that are substantially the same and that have the same pattern of transfer to the customer, as a performance obligation. Transaction price is allocated among different performance obligations identified in one contract, by using expected cost - plus margin approach, if the standalone selling price of each performance obligation is not observable.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applied a practical expedient to expense costs as incurred for costs to obtain a contract with a customer when the amortization period would have been one year or less. The Company has no material incremental costs of obtaining contracts with customers that the Company expects the benefit of those costs to be longer than one year, which need to be recognized as assets.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advertising agency revenues from search engine marketing (“SEM”, a form of online marketing that involves the promotion of websites by increasing their visibility in search engine results pages and search-related products and services) services and non-SEM services, including deployment of in-feed and mobile app ads on other media and social media marketing services in relation to running advertising campaigns on selected social media accounts. The Company acts as an agent between media or their authorized agencies (collectively “publishers”) and advertisers by helping publishers procure advertisers and facilitate ad deployment on their advertising channels, and purchasing ad inventories and advertising services from publishers for advertisers. The Company places orders with publishers as per request from advertisers. Each order is materialized by a contract and explicitly quotes one agency service to arrange for the advertising service to be provided by a third - party publisher for a period of ad term. The Company provides advice and services on advertising strategies and ad optimization to advertisers to improve the effectiveness of their ads, all of which are highly interrelated and not separately identifiable. The Company’s overall promise represents a combined output that is a single performance obligation; there is no multiple performance obligations.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its advertising agency contracts and determined that it was not acting as principal in these arrangements with publishers and advertisers since it never takes control of the ad inventories at any time. The Company collects the costs of purchasing ad inventories and advertising services from advertisers on behalf of publishers. The Company generates advertising agency revenues either by charging additional fees to advertisers or receiving rebates and incentives offered by publishers. Accordingly, both advertisers and publishers can be identified as customers, depending on the revenue model applicable to the relevant services.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revenues on a net basis, which equal to: (i) rebates and incentives offered by publishers, netting the rebates to advertises (if any); and (ii) net fees from advertisers.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465455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 w:name="page13"/>
    <w:bookmarkEnd w:id="12"/>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 and incentives offered by publishers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Rebates and incentives offered by publishers are determined based on the contract terms with publishers and their applicable rebate policies, which typically in the form of across-the-board standard-rate rebates, differential standard-rate rebates and progressive-rate rebates. Rebates and incentives offered by publishers are accounted for as variable consideration. The Company accrues and recognizes revenues in the form of rebates and incentives based on its evaluation as to whether the contractually stipulated thresholds of advertising spend are likely to being reached, or other benchmarks or certain prescribed classification are likely to being qualified (e.g. the number of new advertisers secured, growth in actual advertising spend), and to the extent that a significant reversal of cumulative revenue would not occur in future periods. These evaluations are based on the past experience and regularly monitoring of various performance factors set within the rebate policies (e.g. accumulated advertising spend, number of new advertisers). At the end of each subsequent reporting period, the Company re-evaluates the probability of achieving such advertising spend volume and any related constraint, and if necessary, adjusts the estimate of the amount of rebates and incentives. Any such adjustments are recorded on a cumulative catch-up basis, which would affect revenues and earnings in the period of adjustment. The rebates and incentives are generally ascertained and settled on a quarterly or annual basis. Historically, adjustments to the estimations for the actual amounts have been immaterial. These rebates and incentives take the form of cash which, when paid, are applied to set off accounts payable with the relevant publishers or settled separately; or can be in the form of ad currency units which will be deposited in the account in the back-end platform of the media, and can then be utilized to acquire their ad inventory.</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offer rebates to advertisers on a case - by - case basis, generally with reference to the rebates and incentives offered by publishers, the advertiser’s committed total spend, and the business relationships with such advertiser. The rebates offered by the Company to advertisers are in the form of cash discounts or ad currency units that can be utilized to acquire ad inventory from relevant media, both of which are account for as a deduction of revenues.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fees from advertisers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fees from advertisers are the difference between the gross billing amount charged to the advertisers and the costs of purchasing ad inventories and advertising services on their behalf.</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publishers do not receive the benefits from the Company’s facilitation services until the publishers deliver advertising services to the advertisers. The Company recognizes advertising agency revenues when it transfers the control of the facilitation service commitments, i.e., when the publishers deliver advertising services to the advertisers. Under the cost per click (“CPC”) and cost per acquisition (“CPA”) pricing model of media, the Company recognizes revenues at the point of time as the publishers deliver advertising services at the point in time. Under the cost per time (“CPT”) pricing model of media, the publishers deliver advertising services over time when the advertising links are displayed over the contract periods, and therefore the Company recognizes revenue on a straight-line basis over the contracted display period. During the six months ended June 30, 2025 and 2024, revenues from the advertising services under CPT pricing model that the Company arranged are immaterial.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revenues and costs on a net basis and the related accounts receivable and payable amounts on a gross basis.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gross billing amounts charged to the advertisers are collected either in advance to provision of services or after the services. Accounts receivable represent the gross billing charged to advertisers that the Company has an unconditional right to consideration (including billed and unbilled amount) when the Company has satisfied its performance obligation. Payment terms and conditions of accounts receivables vary by customers, and terms typically include a requirement for payment within a period from three to six months. The Company has determined that all the contracts generally do not include a significant financing component. The Company does not have any contract assets since revenue is recognized when control of the promised services is transferred and the payment from customers is not contingent on a future event. In cases where the gross billing amounts are collected in advance, the amounts are recorded as “advance from advertisers” in the condensed consolidated balance sheets. Advance from advertisers related to unsatisfied performance obligations at the end of the year is recognized as revenue when the Company delivers the services to its advertisers. The fees are non-refundable. In cases where amounts are collected after the services, accounts receivable are recognized upon delivery of ad inventories and advertising services to the advertisers. The gross billing amounts are determinable at the inception of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485140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 w:name="page14"/>
    <w:bookmarkEnd w:id="13"/>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of purchasing ad inventories and advertising services is recorded as accounts payable or a deduction against prepayments in cases where prepayments are required by the publishers.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the disaggregation of our revenue for the six months ended June 30, 2025 and 2024, respectively.</w:t>
      </w:r>
    </w:p>
    <w:p>
      <w:pPr>
        <w:spacing w:after="0" w:line="232"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Nature of 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Rebates and incentives offered by publishers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96,348</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fees from advertisers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283,039</w:t>
            </w: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46,175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 of Revenue: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 services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150,707</w:t>
            </w:r>
          </w:p>
        </w:tc>
        <w:tc>
          <w:tcPr>
            <w:tcW w:w="5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Non-SEM services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132,332</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283,039</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reporting currency of the Company is U.S. dollars (“US$” or “$”) and the accompanying unaudited condensed consolidated financial statements have been expressed in US$. The functional currency of the Company’s PRC subsidiaries is the Chinese Yuan (“RMB”). The functional currency of the Company’s other subsidiaries is the US$. The Company’s unaudited condensed consolidated financial statements have been translated into the reporting currency U.S. dollars. Assets and liabilities of the Company are translated at the exchange rate at each reporting period end date. Equity is translated at historical rates. Income and expense accounts are translated at the average rate of exchange during the reporting period. Because cash flows are translated based on the average translation rate, amounts related to assets and liabilities reported on the statement of cash flows will not necessarily agree with changes in the corresponding balances on the balance sheet. The resulting translation adjustments are reported under other comprehensive loss. Gains and losses resulting from the translations of foreign currency transactions and balances are reflected in the results of operations.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currency exchange rates that were used in creating the unaudited condensed consolidated financial statements in this report: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Period/year-end spot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7.2993</w:t>
            </w:r>
          </w:p>
        </w:tc>
      </w:tr>
      <w:tr>
        <w:trPr>
          <w:trHeight w:val="378"/>
        </w:trPr>
        <w:tc>
          <w:tcPr>
            <w:tcW w:w="75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75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the fair value hierarchy are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inputs that are observable for the assets or liability, either directly or indirectly, for substantially the full term of the financial instruments.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inputs to the valuation methodology are unobservable and significant to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643255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 w:name="page15"/>
    <w:bookmarkEnd w:id="14"/>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of the Company primarily comprised current assets and current liabilities including cash and cash equivalents, short-term investments, accounts receivable, third party and related party, media deposits, other receivables, accounts payables, advertiser deposits, other payables, due to related parties and warrant liabilities.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Warrant liabilities were measured at fair value using unobservable inputs and categorized in Level 3 of the fair value hierarchy. See Note 12.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carrying values of other financial instruments approximated to their fair values because of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and credit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operating activities are transacted into RMB, which is not freely convertible into foreign currencies. All foreign exchange transactions take place either through the People’s Bank of China or other banks authorized to buy and sell foreign currencies at the exchange rates quoted by the People’s Bank of China. Approval of foreign currency payments by the People’s Bank of China or other regulatory institutions require submitting a payment application form together with suppliers’ invoices, shipping documents and signed contracts.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certain bank accounts in the PRC, Hong Kong and the Cayman Islands, which are not insured by Federal Deposit Insurance Corporation (“FDIC”) insurance or other insurance. As of June 30, 2025 and December 31, 2024, $1,102,248 and $1,400,025 of the Company’s cash were on deposit at financial institutions in the PRC, respectively. Each bank account in the PRC is insured by the government authority with the maximum limit of RMB 500,000 (equivalent to approximately $69,800). To limit exposure to credit risk relating to deposits, the Company primarily place cash and cash equivalent deposits with large financial institutions in the PRC which management believes are of high credit quality and the Company also continually monitors their credit worthiness.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services rendered to advertisers that are located primarily in China, thereby exposed to credit risk. The risk is mitigated by the Company’s assessment of advertisers’ creditworthiness and its ongoing monitoring of outstanding balances. The Company has a concentration of its receivables with specific advertisers. As of June 30, 2025, three advertisers accounted for 30.5%, 16.2% and 10.3% of accounts receivable, respectively. As of December 31, 2024, four advertisers accounted for 23.1%, 21.2%, 15.8% and 12.3% of accounts receivable, respectively.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two publishers accounted for approximately 40.4% and 26.8% of the total revenue, respectively. For the six months ended June 30, 2024, seven publishers accounted for approximately 154.5%, 66.3%, 64.2%, 57.8%, 45.7%, 28.5% and 17.4% of the total revenue, respectively.</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one and one publisher accounted for 93.6% and 86.6% of the total accounts payable balance, respectively.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one publisher accounted for approximately 95.5% of the total purchase. For the six months ended June 30, 2024, two publishers accounted for approximately 63.6% and 29.4% of the total purchase,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periods amounts have been reclassified to be comparable to the current period presentation. The reclassification has no effect on previously reported net assets or net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As a result, the Company’s operating results and financial statements may not be comparable to the operating results and financial statements of other companies who have adopted the new or revised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599440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 w:name="page16"/>
    <w:bookmarkEnd w:id="15"/>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30, 2025, the FASB issued ASU 2025-05, which amends ASC 326-20 to provide a practical expedient for all entities which elect a practical expedient that assumes that current conditions as of the balance sheet date do not change for the remaining life of the asset in developing reasonable and supportable forecasts as part of estimating expected credit losses, and an accounting policy election for all entities, other than a public business entity, that elect the practical expedient related to the estimation of expected credit losses for current accounts receivable and current contract assets that arise from transactions accounted for under ASC 606. Under ASU 2025-05, an entity is required to disclose whether it has elected to use the practical expedient and, if so, whether it has also applied the accounting policy election. An entity that makes the accounting policy election is required to disclose the date through which subsequent cash collections are evaluated. ASU 2025-05 is effective for annual reporting periods beginning after December 15, 2025, and interim reporting periods within those annual reporting periods, with early adoption permitted. Entities should apply the new guidance prospectively. The Company is currently evaluating these new disclosure requirements and does not expect the adoption to have a material impact.</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(Subtopic 220-40): Disaggregation of Income Statement Expenses.” This pronouncement introduces new disclosure requirements aimed at enhancing transparency in financial reporting by requiring disaggregation of specific income statement expense captions. Under the new guidance, entities are required to disclose a breakdown of certain expense categories, such as: employee compensation; depreciation; amortization, and other material components. The disaggregated information can be presented either on the face of the income statement or in the notes to the financial statements, often using a tabular format. The ASU is effective for fiscal years beginning after December 15, 2026, and interim periods within those fiscal years. In January 2025, the FASB issued ASU 2025-01, “Income Statement – Comprehensive Income</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Expense Disaggregation Disclosure (Subtopic 220-40): Clarifying the Effective Date.” This pronouncement revises the effective date of ASU 2024-03 and clarifies that all public business entities are required to adopt the guidance in annual reporting periods beginning after December 15, 2026, and interim periods within annual reporting periods beginning after December 15, 2027. Entities within the ASU’s scope are permitted to early adopt the accounting standard update. The Company is currently evaluating these new disclosure requirements and does not expect the adoption to have a material impact.</w:t>
      </w:r>
    </w:p>
    <w:p>
      <w:pPr>
        <w:spacing w:after="0" w:line="1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which is an update to Topic 740, Income Taxes. The amendments in this update related to the rate reconciliation and income taxes paid disclosures improve the transparency of income tax disclosures by requiring</w:t>
      </w:r>
    </w:p>
    <w:p>
      <w:pPr>
        <w:jc w:val="both"/>
        <w:ind w:firstLine="8"/>
        <w:spacing w:after="0" w:line="251"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disclosures of pretax income (or loss) and income tax expense (or benefit) to be consistent with U.S. Securities and Exchange Commission (SEC) Regulation S-X 210.4-08(h), Rules of General Application — General Notes to Financial Statements: Income Tax Expense, and (2) removing disclosures that no longer are considered cost beneficial or relevant. For public business entities, the amendments in this Update are effective for annual periods beginning after December 15, 2024. For entities other than public business entities, the amendments are effective for annual periods beginning after December 15, 2025. Early adoption is permitted, and the disclosures in this standard are required to be applied on a prospective basis with the option to apply the standard retrospectively. The Company is in the process of evaluating the potential impact of the new guidance on its consolidated financial statements and related disclosures.</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 Reporting — Overall, 440-10 Commitments — Overall, 470-10 Debt — Overall, 505-10 Equity — Overall, 815-10 Derivatives and Hedging — Overall, 860-30 Transfers and Servicing — Secured Borrowing and Collateral, 932-235 Extractive Activities — Oil and Gas — Notes to Financial Statements, 946-20 Financial Services — Investment Companies — Investment Company Activities, and 974-10 Real Estate — Real Estate Investment Trusts — Overall. The amendments represent changes to clarify or improve disclosure and presentation requirements of above subtopics.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 The Company is currently evaluating these new disclosure requirements and does not expect the adoption to have a material impact.</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believe the above referenced recently issued but not yet effective accounting standards, if currently adopted, would have a material impact on its the unaudited condensed consolidated financial position, statements of operations and comprehensive loss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749300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 w:name="page17"/>
    <w:bookmarkEnd w:id="16"/>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reflected in the Company’s unaudited condensed consolidated financial statements, the Company had a net loss of $ 4,175,903 and $1,740,418 for the six months ended June 30, 2025 and 2024, respectively, and reported a cash outflow in operating activities of $544,786 and $1,274,344 for the six months ended June 30, 2025 and 2024, respectively. These factors raise a substantial doubt about the Company’s ability to continue as a going concern.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2025, the Company had current assets of $11,649,465, among which the Company had cash and cash equivalent of $1,220,870, short-term investments of $446,950 and accounts receivable of $4,103,151. On the other hand, the balance of current liabilities of $9,232,290 as of June 30, 2025 is expected to get paid in the twelve months ending June 30, 2026. The Company intends to meet the cash requirements for the next 12 months from the issuance date of this report through a combination of application of credit terms and bank borrowings. For the period from July 2025 through the date of this report, the Company borrowed bank loans of approximately $827,200 (RMB 6,000,000) from two banks. On July 18, 2025, the Company sold certain real property owned and raised cash consideration of $772,100 (RMB 5,600,000) (Note 18). Given the factors mentioned above, the Company assesses current working capital is sufficient to meet its obligations for the next 12 months from the issuance date of this report. Accordingly, management continues to prepare the Company’s unaudited condensed consolidated financial statements on going concern basis.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future financing requirements will depend on many factors, including the scale and pace of the expansion of the Company’s advertising business, the expansion of the Company’s sales and marketing activities, and potential investments in, or acquisitions of, businesses or technologies. Inability to obtain credit terms from medias or access to financing on favorable terms in a timely manner or at all would materially and adversely affect the Company’s business, results of operations, financial condition, and growth prospects.</w:t>
      </w:r>
    </w:p>
    <w:p>
      <w:pPr>
        <w:spacing w:after="0" w:line="17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 – THIRD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revenues and costs on a net basis and the related accounts receivable and payable amounts on a gross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of provision for credit losses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22,650,838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29,375,358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(18,547,687)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(25,711,852)</w:t>
            </w:r>
          </w:p>
        </w:tc>
      </w:tr>
      <w:tr>
        <w:trPr>
          <w:trHeight w:val="21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4,103,151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3,663,506</w:t>
            </w: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provided allowance for expected credit loss of $2,694,737 for the six months ended June 30, 2025, and reversed provision for expected credit losses of $749,688 for the six months ended June 30, 2024. Movement of allowance for credit losses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564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25,711,852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13,417,481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Charge (reversal of charge) to expenses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(749,688)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Writing off of accounts receivable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(10,252,070)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exchange adjustments</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393,168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(303,502)</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tc>
        <w:tc>
          <w:tcPr>
            <w:tcW w:w="1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18,547,687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12,364,291</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PREPAYMENTS – THIRD PARTIES</w:t>
            </w: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 third parties consisted of the following:</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64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 third party medias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1,228,357</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doubtful accounts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(613,959)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(612,546)</w:t>
            </w: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615,811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7"/>
        </w:trPr>
        <w:tc>
          <w:tcPr>
            <w:tcW w:w="5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7" w:name="page18"/>
    <w:bookmarkEnd w:id="17"/>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 THIRD PARTIES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reversed provision for doubtful accounts of prepayments of $10,065 for the six months ended June 30, 2025, and provided allowance for doubtful accounts of prepayments of $10,825 for the six months ended June 30, 2024. Movement of allowance for doubtful accounts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period/year</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581,462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Charge to expenses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adjustments</w:t>
            </w:r>
          </w:p>
        </w:tc>
        <w:tc>
          <w:tcPr>
            <w:tcW w:w="1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period/year</w:t>
            </w:r>
          </w:p>
        </w:tc>
        <w:tc>
          <w:tcPr>
            <w:tcW w:w="19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613,959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578,824</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OTHER CURRENT ASSETS</w:t>
            </w:r>
          </w:p>
        </w:tc>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Recoverable value-added taxes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2,281,049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2,221,520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427,080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provision for expected credit losses</w:t>
            </w:r>
          </w:p>
        </w:tc>
        <w:tc>
          <w:tcPr>
            <w:tcW w:w="1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(56,552)</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2,559,164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2,592,048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the Company reversed provision of $38,607 for expected credit losses of other current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the Company provided allowance of $11,303 for expected credit losses of other current assets.</w:t>
      </w:r>
    </w:p>
    <w:p>
      <w:pPr>
        <w:spacing w:after="0" w:line="21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1,678,727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1,627,658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improvement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468,708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(857,433)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(760,608)</w:t>
            </w:r>
          </w:p>
        </w:tc>
      </w:tr>
      <w:tr>
        <w:trPr>
          <w:trHeight w:val="210"/>
        </w:trPr>
        <w:tc>
          <w:tcPr>
            <w:tcW w:w="7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1,689,799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1,717,488</w:t>
            </w: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were $81,403 and $103,486 for the six months ended June 30, 2025 and 2024, respectively.</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INTANGIBLE ASSETS,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0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Copyrights</w:t>
            </w: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710,846</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69,273</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(538,907)</w:t>
            </w:r>
          </w:p>
        </w:tc>
      </w:tr>
      <w:tr>
        <w:trPr>
          <w:trHeight w:val="209"/>
        </w:trPr>
        <w:tc>
          <w:tcPr>
            <w:tcW w:w="48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170,130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241,212</w:t>
            </w:r>
          </w:p>
        </w:tc>
      </w:tr>
      <w:tr>
        <w:trPr>
          <w:trHeight w:val="20"/>
        </w:trPr>
        <w:tc>
          <w:tcPr>
            <w:tcW w:w="4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$76,056 and $78,730 for the six months ended June 30,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 w:name="page19"/>
    <w:bookmarkEnd w:id="18"/>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DEPOSITS DUE FROM A THIRD PARTY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Baosheng Network and Nanjing Yunbei E-commerce Co., Ltd. (“Nanjing Yunbei”) entered into an Asset Merger Margin Custodian Agreement, pursuant to which the Company deposited RMB20,000,000, or $2,554,539 into a custodian account under the name of Nanjing Yunbei to support the Company’s future investment opportunities. Once fully funded with the remaining RMB10,000,000, the deposit would be held in the custody account for up to twelve months. Due to its ongoing legal proceeds as described in Note 17, the Company has paused its funding of the remaining RMB10,000,000 until such matters are resolved. The deposit is interest-free during the custody period. As of June 30, 2025 and December 31, 2024, the Company’s deposit was valued at $2,791,892 and $2,739,989, respectively, due from Nanjing Yunbei.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long-term investments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248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8"/>
        </w:trPr>
        <w:tc>
          <w:tcPr>
            <w:tcW w:w="73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Equity investment without readily determinable fair value measured at measurement alternative</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4"/>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2,609,331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2,560,822</w:t>
            </w:r>
          </w:p>
        </w:tc>
      </w:tr>
      <w:tr>
        <w:trPr>
          <w:trHeight w:val="216"/>
        </w:trPr>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Equity investment accounted for using the equity method (b)</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4,011,647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4,015,866</w:t>
            </w:r>
          </w:p>
        </w:tc>
      </w:tr>
      <w:tr>
        <w:trPr>
          <w:trHeight w:val="209"/>
        </w:trPr>
        <w:tc>
          <w:tcPr>
            <w:tcW w:w="2480" w:type="dxa"/>
            <w:vAlign w:val="bottom"/>
            <w:tcBorders>
              <w:bottom w:val="single" w:sz="8" w:color="CCEEFF"/>
            </w:tcBorders>
            <w:shd w:val="clear" w:color="auto" w:fill="CCEEFF"/>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6,620,978</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6,576,688</w:t>
            </w:r>
          </w:p>
        </w:tc>
      </w:tr>
      <w:tr>
        <w:trPr>
          <w:trHeight w:val="20"/>
        </w:trPr>
        <w:tc>
          <w:tcPr>
            <w:tcW w:w="24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76" w:lineRule="exact"/>
        <w:rPr>
          <w:sz w:val="20"/>
          <w:szCs w:val="20"/>
          <w:color w:val="auto"/>
        </w:rPr>
      </w:pPr>
    </w:p>
    <w:p>
      <w:pPr>
        <w:jc w:val="both"/>
        <w:ind w:left="340" w:hanging="332"/>
        <w:spacing w:after="0" w:line="25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accounted for the transaction as an investment in privately held investment using the measurement alternative at cost, less impairment, with subsequent adjustments for observable price changes resulting from orderly transactions for identical or similar investments of the same issuer. As of June 30, 2025 and December 31, 2024, the Company did not identify orderly transactions for similar investments of the investees and the Company did not record upward or downward adjustments. As of June 30, 2025 and December 31, 2024, the Company reviewed the financial position and financial performance of investments, and did not provided impairment against investment in the investees.</w:t>
      </w:r>
    </w:p>
    <w:p>
      <w:pPr>
        <w:spacing w:after="0" w:line="14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2025 and 2024, equity investment loss of $79,307 and $48,047 was recognized in the account of “other loss, net” in the consolidated statements of operations and comprehensive loss, respectively. As of June 30, 2025 and December 31, 2024, the Company did not note other-than-temporary decline in fair value below the carrying value of the investment and did not accrue impairment against the investment for the six months ended June 30, 2025 and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BORROWINGS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90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 borrowings</w:t>
            </w:r>
          </w:p>
        </w:tc>
        <w:tc>
          <w:tcPr>
            <w:tcW w:w="90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684,997</w:t>
            </w:r>
          </w:p>
        </w:tc>
      </w:tr>
      <w:tr>
        <w:trPr>
          <w:trHeight w:val="20"/>
        </w:trPr>
        <w:tc>
          <w:tcPr>
            <w:tcW w:w="7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Company fully repaid borrowings of $689,408 to one bank. For the six months ended June 30, 2025, the Company did not enter into borrowing agreements with any banks or financial institutions.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Beijing Baosheng entered into a bank loan agreement with Bank of Communication under which under which Beijing Baosheng borrowed a one-year loan of RMB6,000,000, or $847,350. The interest rate for the borrowing was fixed at 3.55% per annum. The loan was guaranteed by Mr. Gong Sheng, the Company’s managing director and his spouse, and one third party. Beijing Baosheng also involved Baosheng Network as counter-guarantor for the third-party guarantor. In addition, Mr. Gong Sheng and his spouse pledged their property with the counter guarantor. The Company fully repaid the bank borrowing in July 2024.</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Beijing Baosheng entered into a bank loan agreement with the Bank of Communication, under which Beijing Baosheng borrowed a one-year loan of RMB5,000,000, or $694,859. The interest rate for the borrowing was fixed at 3.0% per annum. The loan is guaranteed by Mr. Gong Sheng, the Company’s director, and his spouse, and one third party. Beijing Baosheng also involved Baosheng Network as counter-guarantor for the third-party guarantor.</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2024, interest expense arising from the bank borrowings amounted to $8,388 and $39,314,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602615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12. WARRANT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Company had outstanding 112,610 and 112,610 warrants, respectively. Each Warrant entitled the holder thereof to purchase one half of one ordinary share at an exercise price of $107.71 per ordinary share. A warrant may be exercised at any time on or after March 18, 2021 and on or prior to 5:00 p.m. (New York City time) on September 18, 2026 but not thereafter.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warrants are granted with registration rights. If at any time after the six-month anniversary of March 18, 2021, there is no effective registration statement registering, or no current prospectus available for the issuance of the warrant shares to the holder and the resale of the warrant shares, then this warrant may also be exercised, in whole or in part, at such time by means of a “cashless exercise”. The warrants are subject to adjustments in the event of 1) stock dividends and splits, 2) subsequent right offerings, 3) pro rata dilutions and 4) fundamental transactions. No fractional shares or scrip representing fractional shares shall be issued upon the exercise of the warrants.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a fundamental transaction, the Company or any successor entity shall, at the holder’s option, purchase this warrant from the holder by paying to the holder an amount of cash equal to the value of the remaining unexercised portion of the warrant, using Black-Scholes model,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value of the unexercised portion of the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fails for any reason to deliver to the holders the warrant shares subject to a notice of exercise by the warrant share delivery date, the Company shall pay to the holder, in cash, as liquidated damages and not as a penalty, for each $1,000 of warrant shares subject to such exercise (based on the volume weighted average price of the ordinary shares on the date of the applicable Notice of Exercise), $10 per trading day (increasing to $20 per trading day on the fifth (5th) Trading Day after such liquidated damages begin to accrue) for each trading day after such warrant share delivery date until such warrant shares are delivered or holder rescinds such exercise. In addition, cash payment is required as a compensation for buy-in on failure of delivery warrant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mentioned cash-settled make-whole provisions led the warrants classified as a derivative warrant liability. The derivative warrant liability was initially recorded at fair value on the closing date of the private placement and were subsequently remeasured at fair value at each reporting dates. The changes in the fair value of derivative warrant liability were charged to the account of “Changes in fair value of warrant liabilities” in the consolidated statements of operations and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 liability related to such warrants was remeasured to its fair value at each reporting period. The change in fair value was recognized in the condensed consolidated statements of operations and comprehensive loss. For the six months ended June 30, 2025 and 2024, the fair value of the warrants was measured at zero. For the six months ended June 30, 2025 and 2024, no change in the fair value of the warrant liabilities was recorded.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warrant liabilities was estimated using Black-Scholes model. Inherent in these valuations are assumptions related to expected stock-price volatility, expected life, risk-free interest rate and dividend yield. The Company estimates the volatility of its ordinary shares based on historical and implied volatilities of selected peer companies as well as its own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for the Company’s warrants at their measurement dates: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48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0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the warrants to convert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804"/>
        </w:trPr>
        <w:tc>
          <w:tcPr>
            <w:tcW w:w="7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current and applicable laws of the Cayman Islands, the Company is not subject to tax on income or capital gain. Additionally, upon payments of dividends by the Company to its shareholders, no Cayman Islands withholding tax will be imposed.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British Virgin Islands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current and applicable laws of BVI, Baosheng BVI is not subject to tax on income or capital gains.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Baosheng HK is incorporated in Hong Kong and is subject to Hong Kong Profits Tax on the taxable income as reported in its statutory financial statements adjusted in accordance with relevant Hong Kong tax laws. The applicable tax rate for the first HKD$2 million of assessable profits is 8.25% and assessable profits above HKD$2 million will continue to be subject to the rate of 16.5% for corporations in Hong Kong, effective from the year of assessment 2018/2019. Before that, the applicable tax rate was 16.5% for corporations in Hong Kong. The Company did not make any provisions for Hong Kong profit tax as there were no assessable profits derived from or earned in Hong Kong since inception. Under Hong Kong tax laws, Baosheng HK is exempted from income tax on its foreign-derived income and there are no withholding taxes in Hong Kong on remittance of dividends.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Beijing Baosheng, Horgos Baosheng, Kashi Baosheng, Baosheng Technology, Baosheng Network, Beijing Xunhuo, Zhiding Baosheng and Yuansheng Meiyan were incorporated in the PRC and are subject to PRC Enterprise Income Tax (“EIT”) on the taxable income in accordance with the relevant PRC income tax laws. On March 16, 2007, the National People’s Congress enacted a new enterprise income tax law, which took effect on January 1, 2008. The law applies a uniform 25% enterprise income tax rate to both foreign invested enterprises and domestic enterprises.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Horgos Baosheng, Kashi Baosheng, and Baosheng Technology are subject to a preferential income tax rate of 0% CIT for a period since generating revenues, as they were incorporated in the Horgos and Kashi Economic District, Xinjiang Uygur Autonomous Region. The five-year preferential income tax treatment ending on December 31, 2025 for Baosheng Technology. Kashi Baosheng is entitled to an extension of five - year preferential income tax treatment ended on December 31, 2027. Horgos Baosheng was entitled to an extension of five-year preferential income tax treatment ending on December 31, 2025. Other than the preferential tax treatment received by Horgos Baosheng, Kashi Baosheng, and Baosheng Technology, all the other PRC subsidiaries of the Company are subject to the uniform enterprise income tax rate of 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2024, the Company did not record current income tax expenses or deferred income tax expenses. Deferred tax assets as of June 30, 2025 and December 31, 2024 consisted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carryforwards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4,624,932</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4,448,794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of accounts receivable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of prepayments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of other current 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on deferred tax assets</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(4,705,488)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(4,539,137)</w:t>
            </w:r>
          </w:p>
        </w:tc>
      </w:tr>
      <w:tr>
        <w:trPr>
          <w:trHeight w:val="209"/>
        </w:trPr>
        <w:tc>
          <w:tcPr>
            <w:tcW w:w="7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valuation allowance requirements at end of each reporting period by reviewing all available evidence, both positive and negative, and considering whether, based on the weight of that evidence, a valuation allowance is needed. When circumstances cause a change in management’s judgement about the realizability of deferred tax assets, the impact of the change on the valuation allowance is generally reflected in income from operations. The future realization of the tax benefit of an existing deductible temporary difference ultimately depends on the existence of sufficient taxable income of the appropriate character within the carryforward period available under applicable tax law.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due to uncertainties surrounding future utilization on Beijing Baosheng, Baosheng Network, the Beijing branch of Horgos Baosheng and Baosheng HK, the Company accrued full valuation allowance of $4,705,488 and $4,539,137, respectively, against the deferred tax assets based upon management’s assessment as to their realization.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474980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14.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ordinary share for the six months ended June 30, 2025 and 2024, respectively:</w:t>
      </w:r>
    </w:p>
    <w:p>
      <w:pPr>
        <w:spacing w:after="0" w:line="16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(4,175,903)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 outstanding</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1,534,487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1,534,487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and 2024, the Company had no dilutive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Ordinary shares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had 1,000,000,000 authorized shares, par value of US$0.0096, of which 1,534,487 shares of ordinary shares were issued and outstanding,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net assets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ability to pay dividends is primarily dependent on the Company receiving distributions of funds from its subsidiaries. Relevant PRC statutory laws and regulations permit payments of dividends by the Company’s PRC subsidiaries only out of their respective retained earnings, if any, as determined in accordance with PRC accounting standards and regulations and after they have met the PRC requirements for appropriation to statutory reserves. Paid in capital of the PRC subsidiaries included in the Company’s consolidated net assets are also non-distributable for dividend purposes. The results of operations reflected in the accompanying consolidated financial statements prepared in accordance with U.S. GAAP differ from those reflected in the statutory financial statements of the Company’s PRC subsidiaries. The Company is required to set aside at least 10% of their after-tax profits each year, if any, to fund certain statutory reserve funds until such reserve funds reach 50% of its registered capital. In addition, the Company may allocate a portion of its after-tax profits based on PRC accounting standards to enterprise expansion fund and staff bonus and welfare fund at its discretion. The statutory reserve funds and the discretionary funds are not distributable as cash dividends.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Company’s PRC profit generating subsidiaries accrued statutory reserve funds of $898,133. As of June 30, 2025 and December 31, 2024, the Company had net assets restricted in the aggregate, which include paid-in capital and statutory reserve of the Company’s PRC subsidiaries of $33,718,654.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 AND BALANCES</w:t>
      </w:r>
    </w:p>
    <w:p>
      <w:pPr>
        <w:spacing w:after="0" w:line="2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1)</w:t>
      </w:r>
      <w:r>
        <w:rPr>
          <w:sz w:val="20"/>
          <w:szCs w:val="20"/>
          <w:color w:val="auto"/>
        </w:rPr>
        <w:tab/>
      </w:r>
      <w:r>
        <w:rPr>
          <w:rFonts w:ascii="Times New Roman" w:cs="Times New Roman" w:eastAsia="Times New Roman" w:hAnsi="Times New Roman"/>
          <w:sz w:val="17"/>
          <w:szCs w:val="17"/>
          <w:i w:val="1"/>
          <w:iCs w:val="1"/>
          <w:color w:val="auto"/>
        </w:rPr>
        <w:t>Nature of relationships with related parties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Relationship with the Company</w:t>
            </w:r>
          </w:p>
        </w:tc>
      </w:tr>
      <w:tr>
        <w:trPr>
          <w:trHeight w:val="191"/>
        </w:trPr>
        <w:tc>
          <w:tcPr>
            <w:tcW w:w="40" w:type="dxa"/>
            <w:vAlign w:val="bottom"/>
          </w:tcPr>
          <w:p>
            <w:pPr>
              <w:spacing w:after="0"/>
              <w:rPr>
                <w:sz w:val="16"/>
                <w:szCs w:val="16"/>
                <w:color w:val="auto"/>
              </w:rPr>
            </w:pPr>
          </w:p>
        </w:tc>
        <w:tc>
          <w:tcPr>
            <w:tcW w:w="5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Former Chairperson of the Board of Directors, CEO and</w:t>
            </w:r>
          </w:p>
        </w:tc>
      </w:tr>
      <w:tr>
        <w:trPr>
          <w:trHeight w:val="234"/>
        </w:trPr>
        <w:tc>
          <w:tcPr>
            <w:tcW w:w="4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Wenxiu Zhong</w:t>
            </w:r>
          </w:p>
        </w:tc>
        <w:tc>
          <w:tcPr>
            <w:tcW w:w="4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indirect holder of 22.6% of the Company’s equity interests</w:t>
            </w:r>
          </w:p>
        </w:tc>
      </w:tr>
      <w:tr>
        <w:trPr>
          <w:trHeight w:val="198"/>
        </w:trPr>
        <w:tc>
          <w:tcPr>
            <w:tcW w:w="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458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90% owned by Ms. Wenxiu Zhong and 10% owned by Mr.</w:t>
            </w:r>
          </w:p>
        </w:tc>
      </w:tr>
      <w:tr>
        <w:trPr>
          <w:trHeight w:val="216"/>
        </w:trPr>
        <w:tc>
          <w:tcPr>
            <w:tcW w:w="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Sheng Gong, the Director and indirect equity shareholder</w:t>
            </w:r>
          </w:p>
        </w:tc>
      </w:tr>
      <w:tr>
        <w:trPr>
          <w:trHeight w:val="234"/>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Anruitai Investment Limited (“Anruitai”)</w:t>
            </w:r>
          </w:p>
        </w:tc>
        <w:tc>
          <w:tcPr>
            <w:tcW w:w="4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 the Company</w:t>
            </w:r>
          </w:p>
        </w:tc>
      </w:tr>
      <w:tr>
        <w:trPr>
          <w:trHeight w:val="198"/>
        </w:trPr>
        <w:tc>
          <w:tcPr>
            <w:tcW w:w="40" w:type="dxa"/>
            <w:vAlign w:val="bottom"/>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4580" w:type="dxa"/>
            <w:vAlign w:val="bottom"/>
            <w:gridSpan w:val="2"/>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Controlled by EJAM Group, which indirectly hold a 6.8%</w:t>
            </w:r>
          </w:p>
        </w:tc>
      </w:tr>
      <w:tr>
        <w:trPr>
          <w:trHeight w:val="216"/>
        </w:trPr>
        <w:tc>
          <w:tcPr>
            <w:tcW w:w="4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interest in the Company; and ceased to be a related</w:t>
            </w:r>
          </w:p>
        </w:tc>
      </w:tr>
      <w:tr>
        <w:trPr>
          <w:trHeight w:val="216"/>
        </w:trPr>
        <w:tc>
          <w:tcPr>
            <w:tcW w:w="4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party of the Company since December 27, 2024 when</w:t>
            </w:r>
          </w:p>
        </w:tc>
      </w:tr>
      <w:tr>
        <w:trPr>
          <w:trHeight w:val="234"/>
        </w:trPr>
        <w:tc>
          <w:tcPr>
            <w:tcW w:w="4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Horgos Zhijiantiancheng</w:t>
            </w:r>
          </w:p>
        </w:tc>
        <w:tc>
          <w:tcPr>
            <w:tcW w:w="4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EJAM Group sold 6.8% equity interest in the Company</w:t>
            </w:r>
          </w:p>
        </w:tc>
      </w:tr>
      <w:tr>
        <w:trPr>
          <w:trHeight w:val="432"/>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2)  Transactions with related parties</w:t>
            </w:r>
          </w:p>
        </w:tc>
        <w:tc>
          <w:tcPr>
            <w:tcW w:w="260" w:type="dxa"/>
            <w:vAlign w:val="bottom"/>
          </w:tcPr>
          <w:p>
            <w:pPr>
              <w:spacing w:after="0"/>
              <w:rPr>
                <w:sz w:val="24"/>
                <w:szCs w:val="24"/>
                <w:color w:val="auto"/>
              </w:rPr>
            </w:pPr>
          </w:p>
        </w:tc>
        <w:tc>
          <w:tcPr>
            <w:tcW w:w="432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Company did not enter into transactions with related parties. For the six months ended June 30, 2024, the Company received the media deposits of $242,009 from Horgos Zhijiantiancheng.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465455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 AND BALANCES (CONTINUED)</w:t>
      </w:r>
    </w:p>
    <w:p>
      <w:pPr>
        <w:spacing w:after="0" w:line="2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3)</w:t>
      </w:r>
      <w:r>
        <w:rPr>
          <w:sz w:val="20"/>
          <w:szCs w:val="20"/>
          <w:color w:val="auto"/>
        </w:rPr>
        <w:tab/>
      </w:r>
      <w:r>
        <w:rPr>
          <w:rFonts w:ascii="Times New Roman" w:cs="Times New Roman" w:eastAsia="Times New Roman" w:hAnsi="Times New Roman"/>
          <w:sz w:val="17"/>
          <w:szCs w:val="17"/>
          <w:i w:val="1"/>
          <w:iCs w:val="1"/>
          <w:color w:val="auto"/>
        </w:rPr>
        <w:t>Balances with related parties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 balances due from a related party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Anruitai Investment Limited</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28,667</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28,667</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28,667</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28,667</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June 30, 2025 and December 31, 2024, the balances due to a related party were as follows: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payable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Wenxiu Zhong</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loss contingencies, such as certain legal proceedings, claims and disputes. The Company records a liability for such loss contingencies when the likelihood of an unfavorable outcome is probable and the amount of loss can be reasonably estimated.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6, 2023, the Longhua District People’s Court of Shenzhen City, Guangdong Province accepted a case filed by Shenzhen Pusi Technology Co., Ltd (“Shenzhen Pusi”), as the complainant, and Beijing Baosheng, as the defendant. In this case, Shenzhen Pusi sought recovery of outstanding service fee RMB160,965 (approximately $23,292) and related liquidated damages from Beijing Baosheng and other expenses (i.e., attorney’s fee, court expense and property reservation fee). The court made a ruling in favor of the complainant. Beijing Baosheng appealed to Shenzhen Intermediate People’s Court against the trial court’s judgement. The appellate court made a final ruling on April 29, 2024, affirming the trial court’s judgement. A bank account of Baosheng with bank deposit balance of RMB 171,478 has been reserved by the court on July 2, 2023, following Shenzhen Pusi’s application. The case was settled on May 15, 2024, and paid a total amount of RMB 176,358 to the complaint.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2022, Horgos Baosheng brought a breach of contract claim against Beijing Aipu New Media Technology Co., Ltd. (“Aipu”) in the Beijing Haidian District People’s Court and sought recovery of RMB1,783,834.04 (approximately $270,102) and related liquidated damages. On March 14, 2022, Horgos Baosheng applied for reservation of Aipu’s property in an amount of RMB1,783,834.04 (approximately $270,102) and said application was approved by the court on March 17, 2022. On February 10, 2023, Horgos Baosheng applied for extension for reservation of Aipu’ s property in an amount of RMB1,783,834.04 (approximately $270,102), and the court approved the extension of reservation to March 17, 2024. This case was heard on September 10, 2024 at Dongsheng Court in Haidian District, Beijing. During the hearing, Horgos Baosheng was informed that the property reserved by Horgos Baosheng had been used for Aipu’s employee dispute and there was no property available for reservation. The court made a ruling in favor of the complainant on March 21, 2025. Horgos Baosheng now intends to apply for enforcement.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30, 2024, Beijing Arbitration Committee accepted a contract dispute arbitration case filed by Beijing Baosheng against Tianjin Hongen Wanmei Future Education Technology Co., Ltd (“Tianjin Hongen”) for recovery of RMB1,434,059.00 (US$201,982.99). As of September 6, 2024, Tianjin Hongen had already paid to Beijing Baosheng RMB1,267,980.00 (US$178,591.25).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17. CONTINGENCIES (CONTINUED)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 2024, the Company was served a complaint regarding a lawsuit brought by three institutional investors (the “Plaintiffs”) against the Company and certain other parties, filed with the United States District Court of the Southern District of New York (the “SDNY”), alleging that the Company violated Section 11 and Section 12 of the Securities Act of 1933, as amended, by including untrue statements of material facts and omitting to state material facts required to make the statements therein not misleading, in its registration statement on Form F-1, as amended (File No. 333-239800), which was declared effective by the SEC on February 5, 2021. On March 17, 2021, two institutional investors, which are also two of the Plaintiffs, purchased 1,960,784 units from the Company pursuant to a securities purchase agreement, with each unit consisting of one ordinary share of the Company and one warrant to purchase one half of one ordinary share of the Company, for an aggregate purchase price of US$10 million. On March 5, 2024, the Plaintiffs filed an amended complaint and served the Company on March 6, 2024. The Company extended the deadline to respond to May 22, 2024 in order to coordinate with other defendants in the matter. The Company filed a motion to dismiss the Plaintiffs’ second amended complaint on May 22, 2024. As of the date of this report, the SDNY has denied the Company’s motion to dismiss the complaint, and the litigation is proceeding to the next phase of answering the complaint and discovery. The Company believes that the complaint is without any merit and intends to defend the matter vigorously.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10, 2024, the Company was served with a copy of the winding up petition (the “Petition”), filed by Orient Plus International Limited (the “Petitioner”) with the Grand Court of the Cayman Islands (the “Grand Court”), seeking an order that the Company be wound up pursuant to Section 92(e) of the Cayman Islands Companies Act (2023 Revision), claiming that the management of the Company have acted unfairly and/or oppressively towards the Petitioner and other minority shareholders, and/or the affairs of the Company have been conducted with a lack of probity, and the Petitioner and the other investors have justifiably lost confidence in the management of the Company. On March 17, 2021, two institutional investors, one of which is the Petitioner, purchased 1,960,784 units from the Company pursuant to a securities purchase agreement, with each unit consisting of one ordinary share of the Company and one warrant to purchase one half of one ordinary share of the Company, for an aggregate purchase price of US$10 million. The Company filed a strike out application on July 10, 2024, which was dismissed by the Grand Court. The matter has therefore proceeded to trial. As of the date of this report, the parties are in the midst of discovery. The Company believes that the Petition is without any merit and intends to defend the matter vigorously.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17, 2023, the Company entered into a securities purchase agreement (the “Karboom Securities Purchase Agreement”) with Kaboom Technology Limited (“Kaboom”). Pursuant to the Karboom Securities Purchase Agreement, the Company agreed to issue to the Investor senior convertible promissory notes, in an original principal amount of not more than US$42,000,000 (the “Notes”), convertible into the Company’s ordinary shares, par value $0.0096 per share. On February 7, 2024, the Company entered into a securities purchase agreement (the “VG Securities Purchase Agreement”) with VG Master Fund SPC (“VG Master Fund”). Pursuant to the VG Securities Purchase Agreement, subject to specified terms and conditions, the Company may sell and issue in its discretion, up to US$2,000,000 of the Company’s ordinary shares to VG Master Fund.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Affected by the lawsuit filed by three institutional investors on March 1, 2024 and by legal proceedings filed by the Petitioner on April 10, 2024, Both Kaboom and VG Master Fund terminated agreements with the Company.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31, 2024, Karboom sent the Company a notice of agreement termination (the “Karboom Termination Notice”) regarding the Karboom Securities Purchase Agreement and all related agreements contemplated thereunder (collectively, the “Karboom Agreements”), due to the legal proceedings that the Company was involved at that time. Immediately prior to the termination of the Karboom Agreements, the Company had not issued any Note to Karboom under the Karboom Securities Purchase Agreement. Upon the termination of the Karboom Agreements, effective on the date of the Karboom Termination Notice, the Karboom Agreements became null and void and of no further force and effect, and all investment activities between Karboom and the Company ceased immediately.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4, 2024, VG Master Fund sent the Company a notice of agreement termination (the “VG Termination Notice”) regarding the VG Securities Purchase Agreement and all related agreements contemplated thereunder (collectively, the “VG Agreements”), due to the legal proceedings that the Company was involved at that time. Immediately prior to the termination of the VG Agreements, there had been no ordinary shares sold by the Company to VG Master Fund under the VG Agreements. Upon the termination of the VG Agreements, effective on the date of the VG Termination Notice, the VG Agreements became null and void and of no further force and effect, and all investment activities between VG Master Fund and the Company ceased immediately.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Horgos Baosheng brought a breach of contract claim against Qingdao Xingyuan Automobile Information Technology Co., Ltd. (“Qingdao Xingyuan”) and sought recovery of RMB3.85 million in aggregate. On December 21, 2020, the reviewing court entered a judgment, ruling in favor of Horgos Baosheng and requiring Qingdao Xingyuan to compensate Horgos Baosheng RMB3.25 million and an extra penalty calculated based on the loan prime rate from August 28, 2019 to the actual date of payment. As of the date of this report, the judgment is under the stage of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616585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17. CONTINGENCIES (CONTINUED)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2020, Beijing Baosheng brought a breach of contract claim against Guangzhou Aiyou Information Technology Co. Ltd. (“Guangzhou Aiyou”) and sought recovery of RMB1,255,000 in aggregate. On August 22, 2020, the Beijing arbitration committee entered a judgment, ruling in favor of Beijing Baosheng and requiring Guangzhou Aiyou to compensate Beijing Baosheng RMB1,255,000, with a penalty of RMB592,360, and an extra daily penalty of 0.05%, calculated from April 21, 2020 to the actual date of payment, and arbitration-related expenses. On November 17, 2020, Beijing Baosheng filed a request with Guangzhou Intermediate People’s Court, seeking to mandatorily enforce the judgment. As of the date of this report, the judgment is under the stage of enforcement.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2022, Beijing Baosheng brought a breach of contract claim against Beijing Hekai Qianyu Intelligent Technology Co., Ltd. (“Hekai Qianyu”) and Beijing Zhigu Education Technology Co., Ltd. (“Zhigu Education”) and Mr. Hongpeng Yao (the legal representatives of both Hekai Qianyu and Zhigu Education) in the Beijing Dongcheng District People’s Court and sought recovery of RMB756, 000 (approximately $118,681) and related liquidated damages. Beijing Baosheng subsequently withdrew its action against Zhigu Education and agreed to resolve this dispute with the other two defendants through court mediation. On March 25, 2022, the court issued a civil mediation statement confirming that the parties had reached the following agreement: (1) Hekai Qianyu shall pay Beijing Baosheng RMB756,000 (approximately $118,681) by April 24, 2022, and in case of any late payment of the foregoing, an additional daily penalty calculated from April 25, 2022 to the actual date of payment shall be imposed; (2) Mr. Hongpeng Yao assumes jointly and several liability for the payment under item (1); and (3) the litigation-related expenses shall be borne by Hekai Qianyu and Mr. Hongpeng Yao. On April 25, 2022, Beijing Baosheng filed a request with the court, seeking to mandatorily enforce the settlement. As of the date of this report, the settlement is under the stage of enforcement, and Beijing Baosheng has not yet received any payment from the defendants.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2022, the Beijing Haidian District People’s Court accepted a breach of contract case, filed by Beijing Baosheng as the complainant and Beijing Kaikeba Technology Co., Ltd. (“Beijing Kaikeba”), Huike Education Technology Group Co., Ltd., Hangzhou Kaikeba Technology Co., Ltd. (“HZ Kaikeba”), and Fang Yechang, as the defendants. In this case, Beijing Baosheng sought recovery of RMB34,436,345.13 (approximately $5,010,488.22) and related liquidated damages from Beijing Kaikeba, HZ Kaikeba, and Fang Yechang. The court has a ruling in favor of Beijing Baosheng and requiring Beijing Kaikeba and Fang Yechang to compensate Beijing Baosheng the outstanding service fee of RMB35,781,421.17 (US$5,039,707.77), with liquidated damages of RMB2,620,526.68 (US$369,093.46), and court expenses and reservation expenses. The case is now under enforcement procedures.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2022, the Beijing Haidian District People’s Court accepted a breach of contract case filed by Beijing Baosheng, as the complainant, and Beijing Kaikeba, HZ Kaikeba, and Fang Yechang, as the defendants. In this case, Beijing Baosheng sought recovery of RMB4,756,957.57 (approximately $692,137.33) and related liquidated damages from defendants. On February 27, 2023, the People’s Court of Hangzhou Yuhang District ruled to accept the bankruptcy liquidation case of HZ Kaikeba and requested the creditors of HZ Kaikeba file their claims by April 21, 2023. Beijing Baosheng has filed its creditor claims involved in this case against HZ Kaikeba following the bankruptcy procedures. The bankruptcy administrator confirmed Beijing Baosheng’s rights as a creditor (including the principal debt amount of RMB35,781,421.17 (US$5,039,707.77), and the amount of liquidate damages RMB2,620,526.68 (US$369,093.46). Beijing Baosheng accepted the bankruptcy administrator’s decision and then withdrew the case filed at the Beijing Haidian District People’s Court. As of the date of this report, Beijing Baosheng is waiting for the administrator’s notice of the subsequent procedures.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2022, the Beijing Dongcheng District People’s Court accepted a breach of contract case filed by Beijing Baosheng, as the complainant, and Beijing Kaikeba, as the defendant. In this case, Beijing Baosheng sought recovery of RMB2,197,472.35 (approximately $319,732.23) and related liquidated damages from Beijing Kaikeba. On July 11, 2022, the court issued a civil mediation statement confirming that the parties had reached an agreement that, among others, Beijing Kaikeba agreed to pay Beijing Baosheng the service fee for the period from January 1, 2022 to March 31, 2022, in an amount of RMB 2,197,472.35 (approximately $317,974.25) in three installments by the end of 2022. As of the date of this report, Beijing Baosheng has not received any payment from Beijing Kaikeba. Given that Beijing Kaikeba currently has no assets, the court enforcement procedures against Beijing Kaikeba has been terminated in April 2023. In the event that the court or Beijing Baosheng locates any asset of Beijing Kaikeba, Beijing Baosheng will be able to apply for resumption of the enforcement procedures against Beijing Kaikeba.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17. CONTINGENCIES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10, 2022, the Beijing Shijingshan District People’s Court accepted a contract claim case filed by Beijing Baosheng, as the complainant, and Fang Yechang and his spouse, as defendants. In this case, Beijing Baosheng requested the defendants to assume joint and several guarantee liability for Beijing Kaikeba’s debt to Beijing Baosheng in an amount of RMB2,197,472.35 (approximately $319,732.23). As of the date of this report, Baosheng is waiting for the court’s notice on the hearing.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2023, the Beijing Shijingshan People’s Court accepted a contract claim case filed by Beijing Baosheng, as the complainant, and Fang Yechang and his spouse, as defendants. In this case, Beijing Baosheng requested the defendants to assume joint and several guarantee liability for Beijing Kaikeba’s debt to Beijing Baosheng in an amount of RMB2,715,663.75 (US$382,493.24). On November 16, 2023, the court issued a civil mediation statement confirming that the parties had reached settlement that the defendants will compensate Beijing Baosheng RMB 2,715,663.75 and assume the court expenses. As of the date of this report, Beijing Baosheng has not received any payment from the defendants. Beijing Baosheng has filed a request with the court, seeking to mandatorily enforce the settlement.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2022, the Beijing Chaoyang District People’s Court accepted a breach of contract case filed by Baosheng Network, as the complainant and Beijing Zhijin Dapeng Education Technology Co., Ltd (“Dapeng”), as the defendant. In this case, Beijing Baosheng sought recovery of RMB435,731.02 (approximately $63,271) and related liquidated damages from Dapeng. Later in February 2023, Beijing Baosheng submitted additional evidence to the court. The court hearing was held on September 20, 2023. On January 31, 2024, the court approved Beijing Baosheng’s application for reservation of the bank accounts of Dapeng. The court has a ruling in favor of Beijing Baosheng and requiring Dapeng to compensate Beijing Baosheng the service fee of RMB435,731.02 (US$63,271) and related liquidated damages. As of the date of this report, Beijing Baosheng has not yet received any payment from the defendant.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16, 2024, Beijing Haidian District People’s Court accepted a case filed by Beijing Baina Network Information Technology co., Ltd. (“Baina”) as the plaintiff, with Horgos Baosheng and Beijing Baosheng as the defendants. In this case, Baina sought the refund of the deposit and the account balance totaling RMB6,647,027.8 (approximately US$936,260.4). At the first court hearing held on November 14, 2025, Horgos Baosheng and Beijing Baosheng stated to the court that Baina had committed the first material breach under the contract, that Horgos Baosheng and Beijing Baosheng did not withhold any funds that should have been returned, and that, after offsetting Baina’s account balance and deposit against the outstanding payable amounts that Baina failed to settle, Baina still owed approximately RMB 6.0 million to Horgos Baosheng and Beijing Baosheng. Horgos Baosheng and Beijing Baosheng also submitted the relevant supporting evidence. The court instructed the plaintiff to verify the relevant information and scheduled the second hearing for December 3, 2025. Horgos Baosheng and Beijing Baosheng believe that the complaint is without any merit and intend to defend the matter vigorously.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 2025, a director of the Company was served with a complaint filed by three institutional investors in the Beijing Fourth Intermediate People’s Court, alleging five defendants, including the director, engaged in corporate mismanagement that caused a significant decline in the value of the Company’s stock held by the investor, and seeking damages of RMB 47,249,848 (approximately US$6.59 million). As of the date of this report, the Beijing Fourth Intermediate People’s Court has split the case into three separate cases, with each of the three institutional investors serving as plaintiff, and transferred these three cases to the Beijing Shijingshan District People’s Court for trial. The claims and defendants in the three cases remain unchanged, with the case amounts adjusted to RMB12,245,087 (approximately US$1,723,642.9), RMB14,001,912 (approximately US$1,970,909.13), and RMB21,002,849 (approximately US$2,956,424.03), respectively. As of the date of this report, the three cases have not yet been formally accepted and filed by the Beijing Shijingshan District People’s Court.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is no other legal proceedings, claims and disputes that might cause the Company to be subject to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602615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2025, Beijing Xunhuo entered into a Sale and Purchase Agreement (“Sale and Purchase Agreement”) with Beijing Mr. Mo Technology Co., Ltd. (the “Buyer”), pursuant to which Beijing Xunhuo agreed to sell, and the Buyer agreed to purchase, certain real property owned by Beijing Xunhuo and located at Building 8, Yard 30, Shixing Street, Shijingshan District, Beijing, China (the “Property”). The Property has a total gross floor area of 758.83 square meters and was independently appraised at RMB 7,053,325 on July 4, 2025, by Beijing Hongyang Shiye Asset Appraisal Firm. The total sale price (the “Sale Price”) for the Property was RMB 7,102,828 (approximately US$989,583), of which RMB 5,600,000 was paid in cash. The remaining RMB 1,502,828 of the Sale Price would be offset against lease payments under a three-year sale-and-leaseback arrangement. Under this arrangement, Beijing Xunhuo will lease back 479.83 square meters of the Property for a term of three years, at a rental rate of RMB 2.9 per square meter per day, which equals the deferred amount of RMB 1,502,828 over the lease term.</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1, 2025, the Company entered into a two-year revolving credit facility with China Merchant Bank, pursuant to which each borrowing was repayable in one year. In August 2025, the Company borrowed approximately $413,600 (RMB 3,000,000) with interest rate was 4.58% per annum.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11, 2025, the Company entered into bank borrowing agreement with Bank of China, pursuant to which the Company borrowed approximately $413,600 (RMB 3,000,000) for a period through August 31, 2026. The interest rate was 3.14% per annum.</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were approved by management and available for issuance on November 28, 2025 and the Company has evaluated subsequent events through this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474345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AND FINANCIAL REVIEW AND PROSPECTS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results of operations and prospects should be read in conjunction with our financial statements and the related notes included elsewhere in the current report on Form 6-K this document forms a part. This discussion contains forward-looking statements reflecting our current expectations that involve risks and uncertainties. See “Forward-Looking Information” for a discussion of the uncertainties, risks, and assumptions associated with these statements. Actual results and the timing of events could differ materially from those discussed in our forward-looking statements as a result of many factors, including those set forth under “Item 3. Key Information—3.D. Risk Factors” of our annual report on Form 20-F for the fiscal year ended December 31, 2024, filed with the United States Securities and Exchange Commission on April 29,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online marketing solution provider based in mainland China. We are dedicated to helping advertisers manage their online marketing activities to achieve their business goals. Founded in 2014, we advise advertisers on online marketing strategies, offer value-added advertising optimization services and facilitate the deployment of online ads in various forms such as search ads, in-app ads, mobile app ads and social media marketing ads.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service categories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advertising services are currently focused on SEM services only, which include the deployment of ranked search ads and other display search ads offered by search engine operators.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also provided non-SEM search engine marketing services, including in-feed advertising services. In-feed advertising offered customers with more sophisticated services by deploying ads on various media and presenting differentiated advertising contents.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regard our business value as revolving around our ability to serve the needs of two major business stakeholders: advertisers and media. On one hand, with our experience and insights in the online advertising industry, we help advertisers to effectively carry out their advertising campaigns by offering advices on online advertising strategies, carrying out advertising optimization and facilitating the deployment of online ads. On the other hand, we help media to connect with advertisers and facilitate the monetization of their advertising resources.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built a broad and diverse advertiser base from a broad range of industries, including ecommerce and online service platforms, online travel agencies, financial services, online gaming, car services and advertising agencies, among others. For the six months ended June 30, 2025 and 2024, the number of advertisers (including direct advertisers and third-party advertising agencies subscribing our services on behalf of their advertising clients) were 579 and 217, respectively. Our gross billing was $11.5 million and $9.1 million, respectively. For the six months ended June 30, 2025 and 2024, our top five advertisers contributed 82% and 66% of total gross billing, respectively.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earn rebates and incentives from media or their authorized agencies (collectively “publishers”) for procuring advertisers to place ads with them, or net fees from advertisers when we purchase ad inventory and advertising services from media and other advertising service providers on their behalf. As such, our customers are comprised of publishers and advertisers. We recognize revenues on a net basis as either rebates and incentives from publishers or net fees from advertisers. For the six months ended June 30, 2025, we generated rebates and incentives from publishers of approximately $96,300 and net fees from advertisers of approximately $186,700, respectively. For the six months ended June 30, 2024, we reversed net fees from advertisers due to over estimation of revenues in prior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billing and media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billing is defined as the actual dollar amount of advertising spend of our advertisers, net of any rebates and discounts given by us to the advertisers (if any). We use gross billing to assess the business growth, market share and scale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Media cost represents the cost for acquisition of ad inventory or other advertising services from media and other advertising service providers, offset by rebates and incentives we receive from the relevant media and advertising service providers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 and Trend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Size and spending of advertiser base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earn revenue in the form of (i) rebates and incentives offered by publishers for procuring advertisers to place ads with them, which are usually calculated with reference to the advertising spend of the advertisers and are closely correlated to the gross billing from advertisers, netting of rebates to advertisers (if any); and (ii) the net fees from advertisers, which are essentially the fees we charge advertisers (i.e. gross billing) net of the media costs and other costs of procuring advertising services we incur on their behalf. Accordingly, our revenue base and our profitability are very much driven by our gross billing with advertisers, and the relevant media’s rebate policies which determine, among other things, the rates of rebates we receive from media (or their authorized agencies). The rebates and incentives we receive from media are calculated as a percentage of the total advertising spend of the advertisers procured by us in a given period, with the percentage typically ranging from 10% to 20%.</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willingness of advertisers to spend their online advertising budget through us is critical to our business and our ability to generate gross billing. Our advertisers’ demand for advertising services can be influenced by a variety of factors including:</w:t>
      </w:r>
    </w:p>
    <w:p>
      <w:pPr>
        <w:spacing w:after="0" w:line="162" w:lineRule="exact"/>
        <w:rPr>
          <w:sz w:val="20"/>
          <w:szCs w:val="20"/>
          <w:color w:val="auto"/>
        </w:rPr>
      </w:pPr>
    </w:p>
    <w:p>
      <w:pPr>
        <w:jc w:val="both"/>
        <w:ind w:firstLine="8"/>
        <w:spacing w:after="0" w:line="261"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social factors: domestic, regional and global social, economic and political conditions (such as concerns over a severe or prolonged slowdown in China’s economy and threats of political unrest), economic and geopolitical challenges (such as trade disputes between countries such as the United States and China), economic, monetary and fiscal policies (such as the introduction and winding-down of qualitative easing programs).</w:t>
      </w:r>
    </w:p>
    <w:p>
      <w:pPr>
        <w:spacing w:after="0" w:line="180" w:lineRule="exact"/>
        <w:rPr>
          <w:sz w:val="20"/>
          <w:szCs w:val="20"/>
          <w:color w:val="auto"/>
        </w:rPr>
      </w:pPr>
    </w:p>
    <w:p>
      <w:pPr>
        <w:ind w:firstLine="8"/>
        <w:spacing w:after="0" w:line="282"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Industry-related factors: such as the trends, preferences and habits of audiences towards online media and their receptiveness towards online advertising as well as the development of emerging and varying forms of online media and contents.</w:t>
      </w:r>
    </w:p>
    <w:p>
      <w:pPr>
        <w:spacing w:after="0" w:line="162" w:lineRule="exact"/>
        <w:rPr>
          <w:sz w:val="20"/>
          <w:szCs w:val="20"/>
          <w:color w:val="auto"/>
        </w:rPr>
      </w:pPr>
    </w:p>
    <w:p>
      <w:pPr>
        <w:ind w:firstLine="8"/>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Advertiser-specific factors: an advertiser’s specific development strategies, business performance, financial condition and sales and marketing plans.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change in any of the above factors may result in significant cutbacks on advertising budgets by advertisers, which would not only result in a reduction of our revenue but would also weaken our negotiating position with media on rebate policies and negatively impact our ability to earn advertising spend-driven rebates and incentives from media.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 policies offered from publishers and those offered to advertisers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Publishers may change the rebate and incentive policies offered to us based on prevailing economic outlook, competitive landscape of the online advertising market, and their own business strategy and operational targets. For instance, a media may reduce the rate of rebate offered to us for reason of changes in its business strategies, resource reallocation, increased popularity and demand for their media resources, etc., or may adjust their incentive programs or their benchmarks and measuring parameters for incentive offerings based on their changing marketing and target audience strategies. If media impose rebate and incentive policies that are less favorable to us, our revenue, results of operations and financial condition may be adversely affected.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other hand, we may offer rebates to our advertisers. The level of rebates we offer to our advertisers is determined case by case with reference to the rebates and incentives we are entitled to receive from the relevant media (or its authorized agency), an advertiser’s committed total spend, our business relationships with such advertiser and the competitive landscape in the online advertising industry. If it emerges that an increase in the rate of rebate to our advertisers is necessary for us to remain competitive or align with the emerging competitive environment, our revenue and profitability may reduce.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attract new media and to maintain relationship with existing media</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act as authorized agency for some popular online media to help them procure advertisers to buy their ad inventory and facilitate ad deployment on their advertising channels. As media’s authorized agency, our relationships with the media are mainly governed by agency agreements which provide for, among other things, credit periods and the rebate polices offered to us. These agency agreements typically have a term of one year and are subject to renewal upon expiry. The commercial terms under the agency agreements are subject to renegotiation when they are renewed. Besides, media usually retain the right to terminate the authorized agency relationship based on business needs at their discretion based and, according to their internal performance assessment standards, determine whether to continue the collaboration with us.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media ends its cooperative relationship with us or terminates our authorized agency status or imposes commercial terms which are less favorable to us, or we fail to secure partnerships with new media partners, we may lose access to the relevant advertising channels, sustain advertiser deflection, and suffer revenue drop.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2025 and 2024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during the six months ended June 30, 2025 and 2024, respectively, and provides information regarding the dollar and percentage increase or (decrease) during such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283,039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236,864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(231,311)</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(199,829)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(31,482)</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(153,654)</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205,382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(134,898)</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(44,143)</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(1,488,283)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(1,970,012)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reversal of expected credit losses</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(2,656,130)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(3,394,515)</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(4,279,311)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(1,322,382)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(2,956,929)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223.6</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(4,227,583)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(1,476,036)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(2,751,547)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186.4 %</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from short-term investments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(129,212)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Subsidy income</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(73,179)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(436,558)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(Expenses), Net</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51,680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(264,382)</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316,062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(4,175,903)</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(1,740,418)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(2,435,485)</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139.9 %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(4,175,903)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(1,740,418)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(2,435,485)</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139.9 %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primarily generate our revenues from providing online marketing solutions. We recognize all our revenues on a net basis, which comprises of (i) rebates and incentives offered by publishers for procuring advertisers to place ads with them, which are typically calculated with reference to the advertising spend of our advertisers and are closely correlated to our gross billing from advertisers; and</w:t>
      </w:r>
    </w:p>
    <w:p>
      <w:pPr>
        <w:spacing w:after="0" w:line="1" w:lineRule="exact"/>
        <w:rPr>
          <w:sz w:val="20"/>
          <w:szCs w:val="20"/>
          <w:color w:val="auto"/>
        </w:rPr>
      </w:pPr>
    </w:p>
    <w:p>
      <w:pPr>
        <w:ind w:firstLine="8"/>
        <w:spacing w:after="0" w:line="260" w:lineRule="auto"/>
        <w:tabs>
          <w:tab w:leader="none" w:pos="2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fees from advertisers, which are essentially the fees we charge our advertisers (i.e. gross billing) net of the media costs we incurred on their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607060</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t>Our total revenues increased by approximately $0.2 million, or 513.0%, from approximately $46,200 for the six months ended June 30, 2024 to approximately $0.3 million for the six months ended June 30, 2025. The following table sets forth a breakdown of our revenues: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76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and incentives offered by publishers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96,348</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20,200</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fees from advertisers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186,691</w:t>
            </w:r>
          </w:p>
        </w:tc>
        <w:tc>
          <w:tcPr>
            <w:tcW w:w="20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66.0 %</w:t>
            </w:r>
          </w:p>
        </w:tc>
        <w:tc>
          <w:tcPr>
            <w:tcW w:w="2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25,975</w:t>
            </w:r>
          </w:p>
        </w:tc>
        <w:tc>
          <w:tcPr>
            <w:tcW w:w="20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56.3 %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618.7 %</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46,175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rebates and incentives offered by publishers decreased by approximately $76,100, or 377.0%, from approximately $20,200 for the six months ended June 30, 2024 to approximately $0.1 million for the six months ended June 30, 2024, which was caused by the increase in orders from our customers. The net fees from advertisers increased by approximately $0.2 million, or 618.7% from approximately $26,000 for the six months ended June 30, 2024 to approximately $0.2 million for the six months ended June 30, 2025, which was also caused by an increase in orders from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breakdown of revenues by services offered during the six months ended June 30, 2025 and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SEM services</w:t>
            </w:r>
          </w:p>
        </w:tc>
        <w:tc>
          <w:tcPr>
            <w:tcW w:w="1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147,754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Non-SEM services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132,332</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206.2 %</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283,039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SEM services consist of rebates and incentives offered by publishers. Revenues from SEM services were approximately $0.2 million and $3,000 for the six months ended June 30, 2025 and 2024, respectively. Our revenues from SEM services reached bottom for the six months ended June 30, 2024 as affected by the termination of our cooperation with Sogou. For the six months ended June 30, 2025, our revenues from SEM services slightly reborn.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non-SEM services consist of both rebates and incentives offered by publishers and the net fees from advertisers. Revenues from non-SEM services increased from approximately $43,200 for the six months ended June 30, 2024 to approximately $0.1 million for the six months ended June 30, 2025, which was primarily caused by the increase in rebates earned from news feed ads media.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cost of revenues increased by approximately $31,500, or 15.8%, from approximately $199,800 for the six months ended June 30, 2024 to approximately $231,300 for the six months ended June 30, 2025. Given that the revenues are recognized on a net basis, the cost of revenues was primarily comprised of payroll and welfare expenses incurred by staff responsible for advertiser services and media relations, and taxes and surcharges. The increase was primarily attributable to an increase of staff costs to work with increased projects.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(loss)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changes in revenue and cost of revenues, we reported a gross profit of approximately $51,700 and a gross loss of approximately $0.2 million for the six months ended June 30,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expenses increased by approximately $3.0 million, or 223.6%, from $1.3 million for the six months ended June 30, 2024, to $4.3 million for the six months ended June 30, 2025. The increase in operating expenses was primarily caused by the changes in following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marketing expenses primarily included payroll and welfare expenses incurred by sales and marketing personnel, business travel expenses, and entertainment expenses. Selling expenses increased by approximately $44,100, or 48.6%, from approximately $90,800 million for the six months ended June 30, 2024 to approximately $134,900 for the six months ended June 30, 2025. The increase in selling and marketing expenses was primarily due to an increase in payroll expenses of salespersons which was in line with increased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payroll and welfare expenses incurred by administration department as well as management, operating lease expenses for office rentals, depreciation and amortization expenses, travelling and entertainment expenses, and consulting and professional fees. General and administrative expenses decreased from approximately $2.0 million for the six months ended June 30, 2024 to approximately $1.5 million for the six months ended June 30, 2025. The decrease was primarily due to a decrease of approximately $0.3 million in professional consulting services as we were engaged in two legal proceedings in the year of 2024 and a decrease of approximately $0.2 million in other expenses due to cost saving policies adopted within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reversal of expected credit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(provision for) reversal of expected credit losses for the six months ended June 30, 2025 and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40" w:type="dxa"/>
            <w:vAlign w:val="bottom"/>
          </w:tcPr>
          <w:p>
            <w:pPr>
              <w:spacing w:after="0"/>
              <w:rPr>
                <w:sz w:val="13"/>
                <w:szCs w:val="13"/>
                <w:color w:val="auto"/>
              </w:rPr>
            </w:pPr>
          </w:p>
        </w:tc>
        <w:tc>
          <w:tcPr>
            <w:tcW w:w="13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Variances</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0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(Provision for) reversal of expected credit losses of accounts</w:t>
            </w:r>
          </w:p>
        </w:tc>
        <w:tc>
          <w:tcPr>
            <w:tcW w:w="3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(2,694,737)</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749,688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(3,444,425)</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(459.4)%</w:t>
            </w:r>
          </w:p>
        </w:tc>
        <w:tc>
          <w:tcPr>
            <w:tcW w:w="0" w:type="dxa"/>
            <w:vAlign w:val="bottom"/>
          </w:tcPr>
          <w:p>
            <w:pPr>
              <w:spacing w:after="0"/>
              <w:rPr>
                <w:sz w:val="1"/>
                <w:szCs w:val="1"/>
                <w:color w:val="auto"/>
              </w:rPr>
            </w:pPr>
          </w:p>
        </w:tc>
      </w:tr>
      <w:tr>
        <w:trPr>
          <w:trHeight w:val="198"/>
        </w:trPr>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Reversal of (provision for) expected credit losses of other current</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(11,303)</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(2,656,130)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738,385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(3,394,515)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5"/>
              </w:rPr>
              <w:t>(459.7)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reversal of expected credit losses of accounts receivables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we provided allowances of approximately $2.7 million for credit losses against long-aged accounts receivable. For the six months ended June 30, 2024, we reversed allowances of approximately $0.7 million for credit losses of accounts receivables due from these advertisers when we collected outstanding balance from advertisers.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and 2024, we did not incur income tax expenses, as we incurred taxable losses.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reported a net loss of approximately $4.2 million and $1.7 million for the six months ended June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financed the operations primarily through cash flow from operations, loans from third parties, and proceeds raised in our initial public offering. We plan to support our future operations primarily from cash generated from our operations and cash on hand, borrowings from third parties and bank borrowings, and proceeds from equity instrument financing, where necessary.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reflected in the Company’s unaudited condensed consolidated financial statements, the Company had a net loss of approximately $4.2 million and $1.7 million for the six months ended June 30, 2025 and 2024, and reported a cash outflow of approximately $0.5 million and $1.3 million for the six months ended June 30, 2025 and 2024, respectively. These factors raise a substantial doubt about the Company’s ability to continue as a going concern.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2025, the Company had current assets of approximately $11.6 million, among which the Company had cash and cash equivalent of $1.2 million, short-term investments of $0.4 million and accounts receivable of $4.1 million. On the other hand, the balance of current liabilities of $9.2 million as of June 30, 2025 is expected to get paid in the twelve months ending June 30, 2026. The Company intends to meet the cash requirements for the next 12 months from the issuance date of this report through a combination of application of credit terms and bank borrowings. For the period from July 2025 through the date of this report, the Company borrowed bank loans of approximately $0.8 million (RMB 6 million) from two banks. On July 18, 2025, the Company sold certain real property owned and raised cash consideration of $0.8 million (RMB 5.6 million). Given the factors mentioned above, the Company assesses current working capital is sufficient to meet its obligations for the next 12 months from the issuance date of this report. Accordingly, management continues to prepare the Company’s unaudited condensed consolidated financial statements on going concern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However, future financing requirements will depend on many factors, including the scale and pace of the expansion of the Company’s advertising business, the expansion of the Company’s sales and marketing activities, and potential investments in, or acquisitions of, businesses or technologies. Inability to obtain credit terms from medias or access to financing on favorable terms in a timely manner or at all would materially and adversely affect the Company’s business, results of operations, financial condition, and growth prospects.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limited financial obligations denominated in U.S. dollars, thus the foreign currency restrictions and regulations in the PRC on the dividends distribution will not have a material impact on our liquidity,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of our cash flows for the periods indicated:</w:t>
      </w:r>
    </w:p>
    <w:p>
      <w:pPr>
        <w:spacing w:after="0" w:line="232"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598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(1,274,344)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915,655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40,669</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(426,232)</w:t>
            </w: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1,480,528</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3,316,062</w:t>
            </w: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1,220,870</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2,889,830</w:t>
            </w:r>
          </w:p>
        </w:tc>
      </w:tr>
      <w:tr>
        <w:trPr>
          <w:trHeight w:val="20"/>
        </w:trPr>
        <w:tc>
          <w:tcPr>
            <w:tcW w:w="5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approximately $0.5 million for the six months ended June 30, 2025, mainly derived from (i) net loss of approximately $4.2 million for the period adjusted for noncash provision for credit losses against doubtful accounts of approximately $2.7 million, (ii) net changes in our operating assets and liabilities, principally comprising of (a) an increase of accounts receivable of approximately $3.1 million, and (b) a decrease in prepayments of approximately $0.6 million and an increase of accounts payable of approximately $3.3 million as a result of delayed payments to our suppliers.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approximately $1.3 million for the six months ended June 30, 2024. For the first half of 2024, net cash used in operating activities mainly derived from (i) net loss of approximately $1.7 million adjusted for noncash reversal of provision for expected credit loss of accounts receivable of approximately $0.7 million, (ii) net changes in our operating assets and liabilities, principally consisting of (a) an increase in accounts receivable of approximately $0.8 million, and (b) a decrease in prepayments of approximately $0.2 million to third parties, a decrease in prepayments of approximately $0.2 million to related parties and a decrease in accounts payable to third parties of approximately $1.1 million due to a decrease in purchase from advertisers.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amounted to approximately $1.0 million for the six months ended June 30, 2025, primarily provided by proceeds of approximately $1.4 million from redemption of short-term investments, partially offset by purchases of short-term investments of approximately $0.4 million, purchase of property and equipment of approximately $21,900 and purchase of intangible assets of approximately $1,300.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approximately $0.9 million for the six months ended June 30, 2024, which was primarily provided by redemption of short-term investments of approximately $1.2 million, partially offset by purchase of short-term investments of approximately $0.3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approximately $0.7 million for the six months ended June 30, 2025, which was used in repayment of bank borrowings of approximately $0.7 million. We did not record cash provided by or cash used in financing activities 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capital expenditures were approximately $23,300 and $5,800 for the six months ended June 30, 2025 and 2024, respectively. We intend to fund our future capital expenditures with our existing cash balance and cash flow from operating activities. We will continue to make capital expenditures to meet the expected growth of our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Holding Company Structure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Baosheng Media Group Holdings Limited is a holding company with no operations of its own. We conduct our operations primarily through our subsidiaries in China. As a result, our ability to pay dividends depends upon dividends paid by our PRC subsidiaries. In addition, our PRC subsidiaries are permitted to pay dividends to us only out of their retained earnings, if any, as determined in accordance with the Accounting Standards for Business Enterprise as promulgated by the Ministry of Finance of the PRC, or PRC GAAP. Pursuant to the law applicable to China’s foreign investment enterprise, foreign investment enterprise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is at our subsidiary’s discretion.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have registered (i) two trademarks in Hong Kong; (ii) one domain name in China; and (iii) 13 software copyrights in China.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implement a set of comprehensive measures to protect our intellectual properties, in addition to making trademark and patent registration applications. Key measures include: (i) timely registration, filing and application for ownership of our intellectual properties,</w:t>
      </w:r>
    </w:p>
    <w:p>
      <w:pPr>
        <w:jc w:val="both"/>
        <w:ind w:firstLine="8"/>
        <w:spacing w:after="0" w:line="255" w:lineRule="auto"/>
        <w:tabs>
          <w:tab w:leader="none" w:pos="2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tracking the registration and authorization status of intellectual properties and take action in a timely manner if any potential conflicts with our intellectual properties are identified, (iii) clearly stating all rights and obligations regarding the ownership and protection of intellectual properties in all employment contracts and commercial contracts we enter into.</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have not been subject to any material dispute or claims for infringement upon third parties’ trademarks, licenses and other intellectual property rights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six months ended June 30, 2024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accounting principles generally accepted in the United States requires management to make estimates and assumptions that affect the amounts reported in our consolidated financial statements and accompanying notes. However, uncertainty about these assumptions and estimates could result in outcomes that could require a material adjustment to the carrying amount of the assets or liabilities in the future.</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 management the allowance for expected credit losses as critical accounting estimates.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for accounts receivable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receivables are recorded at the gross billing amount less an allowance for credit losses against any uncollectible accounts due from the advertisers for the acquisition of ad inventory and other advertising services on their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estimation of allowance for credit losses considers factors such as on past due status, the age of the balances, credit quality of the Company’s customers based on ongoing credit evaluations, current economic conditions, reasonable and supportable forecasts of future economic conditions, as well as an assessment of receivables due from specific identifiable counterparties to determine whether these receivables are considered at risk or uncollectible. The Company evaluates its accounts receivable for expected credit losses on a regular basis. The Company maintains an estimated allowance for credit losses to reduce its accounts receivable to the amount that it believes will be collected. The Company considers factors in assessing the collectability of its receivables, such as the age of the amounts due, the customer’s payment history, credit-worthiness and other specific circumstances related to the accounts. The Company adjusts the allowance percentage periodically when there are significant differences between estimated bad debts and actual bad debts. If there is strong evidence indicating that the accounts receivable is likely to be unrecoverable, the Company also makes specific allowance in the period in which a loss is determined to be probable. Accounts receivable balances are written off after all collection efforts have been exhausted. For the six months ended June 30, 2025, the Company provided allowance for expected credit losses of approximately $2.7 million for accounts receivable. For the six months ended June 30, 2024, the Company reversed allowance for expected credit losses of approximately $0.7 million for accounts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2 to our unaudited condensed consolidated financial statements included elsewhere in the current report on Form 6-K to which this document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3"/>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0"/>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decimal"/>
      <w:start w:val="2"/>
    </w:lvl>
  </w:abstractNum>
  <w:abstractNum w:abstractNumId="7">
    <w:nsid w:val="7FDCC233"/>
    <w:multiLevelType w:val="hybridMultilevel"/>
    <w:lvl w:ilvl="0">
      <w:lvlJc w:val="left"/>
      <w:lvlText w:val="%1."/>
      <w:numFmt w:val="decimal"/>
      <w:start w:val="2"/>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endash "/>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1."/>
      <w:numFmt w:val="decimal"/>
      <w:start w:val="4"/>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decimal"/>
      <w:start w:val="9"/>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bullet"/>
      <w:start w:val="1"/>
    </w:lvl>
  </w:abstractNum>
  <w:abstractNum w:abstractNumId="17">
    <w:nsid w:val="257130A3"/>
    <w:multiLevelType w:val="hybridMultilevel"/>
    <w:lvl w:ilvl="0">
      <w:lvlJc w:val="left"/>
      <w:lvlText w:val="2"/>
      <w:numFmt w:val="bullet"/>
      <w:start w:val="1"/>
    </w:lvl>
  </w:abstractNum>
  <w:abstractNum w:abstractNumId="18">
    <w:nsid w:val="62BBD95A"/>
    <w:multiLevelType w:val="hybridMultilevel"/>
    <w:lvl w:ilvl="0">
      <w:lvlJc w:val="left"/>
      <w:lvlText w:val="3"/>
      <w:numFmt w:val="bullet"/>
      <w:start w:val="1"/>
    </w:lvl>
  </w:abstractNum>
  <w:abstractNum w:abstractNumId="19">
    <w:nsid w:val="436C6125"/>
    <w:multiLevelType w:val="hybridMultilevel"/>
    <w:lvl w:ilvl="0">
      <w:lvlJc w:val="left"/>
      <w:lvlText w:val="(%1)"/>
      <w:numFmt w:val="lowerRoman"/>
      <w:start w:val="2"/>
    </w:lvl>
  </w:abstractNum>
  <w:abstractNum w:abstractNumId="20">
    <w:nsid w:val="628C895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14" Type="http://schemas.openxmlformats.org/officeDocument/2006/relationships/hyperlink" Target="https://www.sec.gov/Archives/edgar/data/1811216/000110465923087858/tm2322565d1_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2025-11-28T12:52:05Z</dcterms:created>
  <dcterms:modified xsi:type="dcterms:W3CDTF">2025-11-28T12:52:05Z</dcterms:modified>
</cp:coreProperties>
</file>