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001-39977</w:t>
      </w:r>
    </w:p>
    <w:p>
      <w:pPr>
        <w:spacing w:after="0" w:line="20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Baosheng Media Group Holdings Limited</w:t>
      </w: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East Floor 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Building No. 8, Xishanhui</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Shijingshan District, Beijing 100041</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+86-010-82088021</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27"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Resignation of Directors</w:t>
      </w:r>
    </w:p>
    <w:p>
      <w:pPr>
        <w:spacing w:after="0" w:line="22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On June 4, 2026, Changhong Jiang (“Mr. Jiang”) resigned from his positions as an independent director of the board of directors (the “Board”) of Baosheng Media Group Holdings Limited (the “Company”), a member of each of the audit committee of the Board (the “Audit Committee”), the compensation committee of the Board (the “Compensation Committee”) and the nominating and corporate governance committee of the Board (the “Nominating and Corporate Governance Committee”), and the chairman of the Audit Committee, effective as of June 4, 2026. Mr. Jiang’s resignation was due to personal reasons and was not the result of any disagreement with the Company on any matter relating to the Company’s operations, policies or practices.</w:t>
      </w:r>
    </w:p>
    <w:p>
      <w:pPr>
        <w:spacing w:after="0" w:line="1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4, 2026, Tao Liu (“Mr. Liu”) resigned from his positions as an independent director of the Board, a member of each of the Audit Committee, Compensation Committee and Nominating and Corporate Governance Committee, and the chairman of the Nominating and Corporate Governance Committee, effective as of June 4, 2026. Mr. Liu’s resignation was due to personal reasons and was not the result of any disagreement with the Company on any matter relating to the Company’s operations, policies or practices.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Director and Committee Assignments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4, 2026, upon the recommendation of the Nominating and Corporate Governance Committee, the Board appointed Chenxi Fang (“Mr. Fang”) as an independent director of the Company, a member of each of the Audit Committee, Compensation Committee and Nominating and Corporate Governance Committee, and the chairman of the Audit Committee, effective as of June 4, 2026.</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Fang Chenxi has served as independent director of DirectBooking Technology Co., Ltd. since April 9, 2025. Mr. Fang is a Chinese national and has served as the general manager of Xiaoxiang ShijieZhibo (Hangzhou) Wangluo Keiji Co., Ltd since March 2018, where he is responsible for, among other things, the general management of the operations of the company.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has determined that Mr. Fang satisfies the applicable independence requirements under the rules of The Nasdaq Stock Market LLC for service as an independent director and as a member of the Audit Committee, Compensation Committee and Nominating and Corporate Governance Committee, and the applicable independence requirements of Rule 10A-3 under the Securities Exchange Act of 1934, as amended, for service as a member of the Audit Committee.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Mr. Fang’s appointment, the Company and Mr. Fang entered into a director appointment letter (the “Appointment Letter”). Under the Appointment Letter, Mr. Fang will not receive any cash compensation for his service as an independent director, committee member or committee chairman, unless otherwise determined by the Board or the applicable committee from time to time. The Company will reimburse Mr. Fang for reasonable and properly documented expenses incurred in performing his duties, provided that such expenses are pre-approved by the Company. The Appointment Letter also contains customary provisions relating to confidentiality, compliance with the Company’s policies and applicable laws, service on Board committees, expenses, indemnification and termination in accordance with the Company’s articles of association and applicable law. The foregoing summary of the Appointment Letter does not purport to be complete and is qualified in its entirety by reference to the full text of the Appointment Letter, a copy of which is filed as Exhibit 10.1 to this report on Form 6-K.</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Mr. Fang’s appointment, the Company and Mr. Fang also entered into an indemnification agreement (the “Indemnification Agreement”). Under the Indemnification Agreement, the Company agrees to indemnify Mr. Fang to the fullest extent permitted by applicable law against certain liabilities and expenses incurred in connection with proceedings arising out of his service as a director or officer of the Company or, at the Company’s request, another entity. The Indemnification Agreement also provides for advancement of expenses, subject to certain conditions, and contains customary exceptions and limitations on indemnification. The foregoing summary of the Indemnification Agreement does not purport to be complete and is qualified in its entirety by reference to the full text of the Indemnification Agreement, a copy of which is filed as Exhibit 10.2 to this report on Form 6-K.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no family relationship between Mr. Fang and any director or executive officer of the Company. In addition, there are no arrangements or understandings between Mr. Fang and any other person pursuant to which he was appointed as a director of the Company, and there are no related party transactions between the Company and Mr. Fang that would require disclosure under applicable SEC rules.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4, 2026, upon the recommendation of the Nominating and Corporate Governance Committee, the Board also appointed Cai Lei (“Mr. Cai”), an existing independent director of the Company, as a member of each of the Audit Committee, Compensation Committee and Nominating and Corporate Governance Committee, and the chairman of the Nominating and Corporate Governance Committee, effective as of June 4,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spacing w:after="0" w:line="266" w:lineRule="auto"/>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18"/>
            <w:szCs w:val="18"/>
            <w:color w:val="auto"/>
          </w:rPr>
          <w:t xml:space="preserve">This report, including Exhibits 10.1 and 10.2 hereto, shall be deemed to be incorporated by reference into the registration statement on </w:t>
        </w:r>
        <w:r>
          <w:rPr>
            <w:rFonts w:ascii="Times New Roman" w:cs="Times New Roman" w:eastAsia="Times New Roman" w:hAnsi="Times New Roman"/>
            <w:sz w:val="18"/>
            <w:szCs w:val="18"/>
            <w:u w:val="single" w:color="auto"/>
            <w:color w:val="0000EE"/>
          </w:rPr>
          <w:t>Form F-3 (File No.</w:t>
        </w:r>
      </w:hyperlink>
      <w:r>
        <w:rPr>
          <w:rFonts w:ascii="Times New Roman" w:cs="Times New Roman" w:eastAsia="Times New Roman" w:hAnsi="Times New Roman"/>
          <w:sz w:val="18"/>
          <w:szCs w:val="18"/>
          <w:color w:val="auto"/>
        </w:rPr>
        <w:t xml:space="preserve"> </w:t>
      </w:r>
      <w:hyperlink r:id="rId13">
        <w:r>
          <w:rPr>
            <w:rFonts w:ascii="Times New Roman" w:cs="Times New Roman" w:eastAsia="Times New Roman" w:hAnsi="Times New Roman"/>
            <w:sz w:val="18"/>
            <w:szCs w:val="18"/>
            <w:u w:val="single" w:color="auto"/>
            <w:color w:val="0000EE"/>
          </w:rPr>
          <w:t>333-273720)</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of the Company, as amended, and to be a part thereof from the date on which this report is filed, to the extent not superseded by documents or</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320" w:type="dxa"/>
            <w:vAlign w:val="bottom"/>
            <w:tcBorders>
              <w:top w:val="single" w:sz="8" w:color="auto"/>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tcBorders>
              <w:top w:val="single" w:sz="8" w:color="auto"/>
              <w:bottom w:val="single" w:sz="8" w:color="0000EE"/>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w w:val="99"/>
              </w:rPr>
              <w:t>Form of Director Appointment Letter</w:t>
            </w:r>
          </w:p>
        </w:tc>
        <w:tc>
          <w:tcPr>
            <w:tcW w:w="7520" w:type="dxa"/>
            <w:vAlign w:val="bottom"/>
            <w:tcBorders>
              <w:top w:val="single" w:sz="8" w:color="auto"/>
            </w:tcBorders>
          </w:tcPr>
          <w:p>
            <w:pPr>
              <w:spacing w:after="0"/>
              <w:rPr>
                <w:sz w:val="14"/>
                <w:szCs w:val="14"/>
                <w:color w:val="auto"/>
              </w:rPr>
            </w:pPr>
          </w:p>
        </w:tc>
      </w:tr>
      <w:tr>
        <w:trPr>
          <w:trHeight w:val="196"/>
        </w:trPr>
        <w:tc>
          <w:tcPr>
            <w:tcW w:w="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Form of Indemnification Agreement</w:t>
            </w:r>
          </w:p>
        </w:tc>
      </w:tr>
      <w:tr>
        <w:trPr>
          <w:trHeight w:val="696"/>
        </w:trPr>
        <w:tc>
          <w:tcPr>
            <w:tcW w:w="320" w:type="dxa"/>
            <w:vAlign w:val="bottom"/>
            <w:tcBorders>
              <w:top w:val="single" w:sz="8" w:color="0000EE"/>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20" w:type="dxa"/>
            <w:vAlign w:val="bottom"/>
            <w:tcBorders>
              <w:top w:val="single" w:sz="8" w:color="0000EE"/>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Baosheng Media Group Holdings Limited</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Lina Jiang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Lina Jiang</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Chairwoman of the Board and Chief Executive Officer</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tab/>
        <w:t>June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Baosheng Media Group Holdings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East Floor 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Building No. 8, Xishanhui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Shijingshan District, Beijing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People’s Republic of China 100041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[Mr./Ms.] [●],</w:t>
      </w:r>
    </w:p>
    <w:p>
      <w:pPr>
        <w:spacing w:after="0" w:line="2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Following our recent discussions, I am pleased to confirm our invitation to you to join the board of directors (the “Board”) of Baosheng Media Group Holdings Limited (the “Company”) as an independent director of the Company, effective as of [●] 2026, as approved by the Board. In addition to your acceptance and acknowledgment of this appointment letter, please complete and return the attached Directors’, Officers’ and 5% or Greater Shareholder’s Questionnaire (the “D&amp;O Questionnaire”).</w:t>
      </w:r>
    </w:p>
    <w:p>
      <w:pPr>
        <w:spacing w:after="0" w:line="18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completing the D&amp;O Questionnaire, you consent to serve as an independent director of the Company and consent to the Company’s use of the information in the D&amp;O Questionnaire in the Company’s filings with the United States Securities and Exchange Commission, The Nasdaq Stock Market LLC, state securities authorities and other regulatory authorities, as applicable.</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You agree to perform your responsibilities as an independent director, a member of the Audit Committee, Compensation Committee and Nominating and Corporate Governance Committee of the Board, and chairman of the [●] Committee, in good faith and in accordance with applicable law, the memorandum and articles of association of the Company, as amended from time to time, and other policies and procedures applicable to such services.</w:t>
      </w:r>
    </w:p>
    <w:p>
      <w:pPr>
        <w:spacing w:after="0" w:line="176"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You will not be employed by the Company and will be free to pursue your other interests. We ask that you please disclose these interests to us so that the Company can identify any conflict of interest that may arise from activities that may in the future intersect with yours. We expect that you will be considered an independent director and will be identified as such in any registration statement, annual report and/or other applicable documentation. If circumstances change and you believe that your independence may be in doubt, please discuss this with us. For clarity, under the Nasdaq listing rules, an independent director is generally defined as a person other than an officer or employee of the Company or its subsidiaries, or any other individual having a relationship which, in the opinion of the Board, would interfere with the exercise of independent judgment in carrying out the responsibilities of a director.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Confidentiality</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your role as an independent director, you will have access to confidential information about the Company and its subsidiaries, affiliates, customers and business partners, and you agree to apply the highest standards of confidentiality and, except in the proper performance of your services, not to use or disclose to any person any confidential information during your appointment or thereafter. In addition, you agree to comply with the Company’s Code of Business Conduct and Ethics and other policies applicable to independent directors, as well as all applicable laws and regulations relating to independent directors of a public company.</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Your appointment may be terminated in accordance with the Company’s articles of association and applicable law and regulation. Upon termination of your appointment, you will deliver to the Company all books, documents, papers and other property of or relating to the business of the Company that are in your possession, custody or control by virtue of your position as an independent director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Committees</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your appointment, you and the Board have agreed that you will serve as a member of the Audit Committee, Compensation Committee and Nominating and Corporate Governance Committee of the Board, and as chairman of the [●] Committee, or in such other related positions as may be determined by the Board from time to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Remuneration</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consideration of your services and in accordance with the Company’s compensation arrangements for independent directors, you will not receive any cash compensation for your service as an independent director, committee member or committee chairman, unless otherwise determined by the Board or the applicable committee from time to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29"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The Company will reimburse you for reasonable and properly documented expenses incurred in performing your duties, provided that such expenses are pre-approved by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You will be entitled to the benefit of the indemnification provisions set forth in the Company’s memorandum and articles of association, as amended from time to time, subject to applicable law. The Company may also enter into a separate indemnification agreement with you.</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appointment letter shall be governed by and construed in accordance with the laws of the Cayman Islands.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look forward to your participation on the Board of Baosheng Media Group Holdings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Lina Jiang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Chairwoman of the Board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 accept the appointment as stated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900" w:right="47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INDEMNIFICATION AGREEMENT</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This Indemnification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 2026, by and between Baosheng Media Group Holdings Limited, a Cayman Islands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undersigned, a director and/or an officer of the Company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as applicable.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Board of Directors of the Company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has determined that the inability to attract and retain highly competent persons to serve the Company is detrimental to the best interests of the Company and its shareholders and that it is reasonable and necessary for the Company to provide adequate protection to such persons against risks of claims and actions against them arising out of their services to the Company.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consideration of the premises and the covenants contained herein, the Company and Indemnitee do hereby covenant and agree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DEFINITIONS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terms shall have the meanings defined below:</w:t>
      </w:r>
    </w:p>
    <w:p>
      <w:pPr>
        <w:spacing w:after="0" w:line="22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Expenses </w:t>
      </w:r>
      <w:r>
        <w:rPr>
          <w:rFonts w:ascii="Times New Roman" w:cs="Times New Roman" w:eastAsia="Times New Roman" w:hAnsi="Times New Roman"/>
          <w:sz w:val="18"/>
          <w:szCs w:val="18"/>
          <w:color w:val="auto"/>
        </w:rPr>
        <w:t>shall include, without limitation, damages, judgments, fines, penalties, settlements and costs, attorneys’ fees and disbursements and costs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attachment or similar bond, investigations, and any other expenses paid or incurred in connection with investigating, defending, being a witness in, participating in (including on appeal), or preparing for any of the foregoing in, any Proceeding.</w:t>
      </w:r>
    </w:p>
    <w:p>
      <w:pPr>
        <w:spacing w:after="0" w:line="171"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Indemnifiable Event </w:t>
      </w:r>
      <w:r>
        <w:rPr>
          <w:rFonts w:ascii="Times New Roman" w:cs="Times New Roman" w:eastAsia="Times New Roman" w:hAnsi="Times New Roman"/>
          <w:sz w:val="18"/>
          <w:szCs w:val="18"/>
          <w:color w:val="auto"/>
        </w:rPr>
        <w:t>means any event or occurrence that takes place either before or after the execution of this Agreement, related to the fact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Indemnitee is or was a director or an officer of the Company, or is or was serving at the request of the Company as a director or officer of another corporation, partnership, joint venture or other entity, or related to anything done or not done by Indemnitee in any such capacity, including, but not limited to neglect, breach of duty, error, misstatement, misleading statement or omission.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Participant </w:t>
      </w:r>
      <w:r>
        <w:rPr>
          <w:rFonts w:ascii="Times New Roman" w:cs="Times New Roman" w:eastAsia="Times New Roman" w:hAnsi="Times New Roman"/>
          <w:sz w:val="18"/>
          <w:szCs w:val="18"/>
          <w:color w:val="auto"/>
        </w:rPr>
        <w:t>means a person who is a party to, or witness or participant (including on appeal) in, a Proceeding.</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Proceeding </w:t>
      </w:r>
      <w:r>
        <w:rPr>
          <w:rFonts w:ascii="Times New Roman" w:cs="Times New Roman" w:eastAsia="Times New Roman" w:hAnsi="Times New Roman"/>
          <w:sz w:val="18"/>
          <w:szCs w:val="18"/>
          <w:color w:val="auto"/>
        </w:rPr>
        <w:t>means any threatened, pending, or completed action, suit, arbitration or proceeding, or any inquiry, hearing or investigation, whether civil,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criminal, administrative, investigative or other, including appeal, in which Indemnitee may be or may have been involved as a party or otherwise by reason of an Indemnifiable Event.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AGREEMENT TO INDEMNIFY</w:t>
      </w:r>
    </w:p>
    <w:p>
      <w:pPr>
        <w:spacing w:after="0" w:line="225" w:lineRule="exact"/>
        <w:rPr>
          <w:sz w:val="20"/>
          <w:szCs w:val="20"/>
          <w:color w:val="auto"/>
        </w:rPr>
      </w:pPr>
    </w:p>
    <w:p>
      <w:pPr>
        <w:jc w:val="both"/>
        <w:ind w:firstLine="332"/>
        <w:spacing w:after="0" w:line="266" w:lineRule="auto"/>
        <w:tabs>
          <w:tab w:leader="none" w:pos="51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Agreement</w:t>
      </w:r>
      <w:r>
        <w:rPr>
          <w:rFonts w:ascii="Times New Roman" w:cs="Times New Roman" w:eastAsia="Times New Roman" w:hAnsi="Times New Roman"/>
          <w:sz w:val="18"/>
          <w:szCs w:val="18"/>
          <w:color w:val="auto"/>
        </w:rPr>
        <w:t>. In the event Indemnitee was, is, or becomes a Participant in, or is threatened to be made a Participant in, a Proceeding, the Company shall indemnify the Indemnitee from and against any and all Expenses which Indemnitee incurs or becomes obligated to incur in connection with such Proceeding, to the fullest extent permitted by applicable law.</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51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of Expenses of Successful Party</w:t>
      </w:r>
      <w:r>
        <w:rPr>
          <w:rFonts w:ascii="Times New Roman" w:cs="Times New Roman" w:eastAsia="Times New Roman" w:hAnsi="Times New Roman"/>
          <w:sz w:val="18"/>
          <w:szCs w:val="18"/>
          <w:color w:val="auto"/>
        </w:rPr>
        <w:t>. Notwithstanding any other provision of this Agreement, to the extent that Indemnitee has been successful on the merits in defense of any Proceeding or in defense of any claim, issue or matter in such Proceeding, the Company shall indemnify Indemnitee against all Expenses incurred in connection with such Proceeding or such claim, issue or matter, as the case may be.</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53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Partial Indemnification</w:t>
      </w:r>
      <w:r>
        <w:rPr>
          <w:rFonts w:ascii="Times New Roman" w:cs="Times New Roman" w:eastAsia="Times New Roman" w:hAnsi="Times New Roman"/>
          <w:sz w:val="18"/>
          <w:szCs w:val="18"/>
          <w:color w:val="auto"/>
        </w:rPr>
        <w:t>. If Indemnitee is entitled under any provision of this Agreement to indemnification by the Company for a portion of Expenses, but not for the total amount of Expenses, the Company shall indemnify the Indemnitee for the portion of such Expenses to which Indemnitee is entitled.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 w:name="page8"/>
    <w:bookmarkEnd w:id="7"/>
    <w:p>
      <w:pPr>
        <w:ind w:left="520" w:hanging="188"/>
        <w:spacing w:after="0"/>
        <w:tabs>
          <w:tab w:leader="none" w:pos="5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Employment Rights</w:t>
      </w:r>
      <w:r>
        <w:rPr>
          <w:rFonts w:ascii="Times New Roman" w:cs="Times New Roman" w:eastAsia="Times New Roman" w:hAnsi="Times New Roman"/>
          <w:sz w:val="18"/>
          <w:szCs w:val="18"/>
          <w:color w:val="auto"/>
        </w:rPr>
        <w:t>. Nothing in this Agreement is intended to create in Indemnitee any right to continued employment with the Company.</w:t>
      </w:r>
    </w:p>
    <w:p>
      <w:pPr>
        <w:spacing w:after="0" w:line="225" w:lineRule="exact"/>
        <w:rPr>
          <w:rFonts w:ascii="Times New Roman" w:cs="Times New Roman" w:eastAsia="Times New Roman" w:hAnsi="Times New Roman"/>
          <w:sz w:val="18"/>
          <w:szCs w:val="18"/>
          <w:color w:val="auto"/>
        </w:rPr>
      </w:pPr>
    </w:p>
    <w:p>
      <w:pPr>
        <w:jc w:val="both"/>
        <w:ind w:firstLine="332"/>
        <w:spacing w:after="0" w:line="254" w:lineRule="auto"/>
        <w:tabs>
          <w:tab w:leader="none" w:pos="50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If the indemnification provided in this Agreement is unavailable and may not be paid to Indemnitee for any reason other than those set forth in Section B.4, then the Company shall contribute to the amount of Expenses paid in settlement actually and reasonably incurred and paid or payable by Indemnitee in such proportion as is appropriate to reflect (i) the relative benefits received by the Company on the one hand and by the Indemnitee on the other hand from the transaction or events from which such Proceeding arose, and (ii) the relative fault of the Company on the one hand and of the Indemnitee on the other hand in connection with the events which resulted in such Expenses, as well as any other relevant equitable considerations. The relative fault of the Company on the one hand and of the Indemnitee on the other hand shall be determined by reference to, among other things, the parties’ relative intent, knowledge, access to information and opportunity to correct or prevent the circumstances resulting in such Expenses, judgments, fines or settlement amounts. The Company agrees that it would not be just and equitable if contribution pursuant to this Section B.5 were determined by pro rata allocation or any other method of allocation which does not take account of the foregoing equitable considerations.</w:t>
      </w:r>
    </w:p>
    <w:p>
      <w:pPr>
        <w:spacing w:after="0" w:line="18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INDEMNIFICATION PROCESS</w:t>
      </w:r>
    </w:p>
    <w:p>
      <w:pPr>
        <w:spacing w:after="0" w:line="225" w:lineRule="exact"/>
        <w:rPr>
          <w:rFonts w:ascii="Times New Roman" w:cs="Times New Roman" w:eastAsia="Times New Roman" w:hAnsi="Times New Roman"/>
          <w:sz w:val="18"/>
          <w:szCs w:val="18"/>
          <w:color w:val="auto"/>
        </w:rPr>
      </w:pPr>
    </w:p>
    <w:p>
      <w:pPr>
        <w:jc w:val="both"/>
        <w:ind w:firstLine="332"/>
        <w:spacing w:after="0" w:line="254" w:lineRule="auto"/>
        <w:tabs>
          <w:tab w:leader="none" w:pos="50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and Cooperation by Indemnitee</w:t>
      </w:r>
      <w:r>
        <w:rPr>
          <w:rFonts w:ascii="Times New Roman" w:cs="Times New Roman" w:eastAsia="Times New Roman" w:hAnsi="Times New Roman"/>
          <w:sz w:val="18"/>
          <w:szCs w:val="18"/>
          <w:color w:val="auto"/>
        </w:rPr>
        <w:t>. Indemnitee shall, as a condition precedent to his/her right to be indemnified under this Agreement, give the Company notice in writing as soon as practicable of any claim made against Indemnitee for which indemnification will or could be sought under this Agreement, provided that the delay of Indemnitee to give notice hereunder shall not prejudice any of Indemnitee’s rights hereunder, unless such delay results in the Company’s forfeiture of substantive rights or defenses. Notice to the Company shall be given in accordance with Section F.7 below. If, at the time of receipt of such notice, the Company has directors’ and officers’ liability insurance policies in effect, the Company shall give prompt notice to its insurers of the Proceeding relating to the notice. The Company shall thereafter take all necessary and desirable action to cause such insurers to pay, on behalf of Indemnitee, all Expenses payable as a result of such Proceeding. In addition, Indemnitee shall give the Company such information and cooperation as the Company may reasonably request.</w:t>
      </w:r>
    </w:p>
    <w:p>
      <w:pPr>
        <w:spacing w:after="0" w:line="191"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Payment.</w:t>
      </w:r>
    </w:p>
    <w:p>
      <w:pPr>
        <w:spacing w:after="0" w:line="223" w:lineRule="exact"/>
        <w:rPr>
          <w:rFonts w:ascii="Times New Roman" w:cs="Times New Roman" w:eastAsia="Times New Roman" w:hAnsi="Times New Roman"/>
          <w:sz w:val="18"/>
          <w:szCs w:val="18"/>
          <w:color w:val="auto"/>
        </w:rPr>
      </w:pPr>
    </w:p>
    <w:p>
      <w:pPr>
        <w:jc w:val="both"/>
        <w:ind w:left="660" w:firstLine="320"/>
        <w:spacing w:after="0" w:line="261" w:lineRule="auto"/>
        <w:tabs>
          <w:tab w:leader="none" w:pos="1255"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Advancement of Expenses</w:t>
      </w:r>
      <w:r>
        <w:rPr>
          <w:rFonts w:ascii="Times New Roman" w:cs="Times New Roman" w:eastAsia="Times New Roman" w:hAnsi="Times New Roman"/>
          <w:sz w:val="18"/>
          <w:szCs w:val="18"/>
          <w:color w:val="auto"/>
        </w:rPr>
        <w:t>. Indemnitee may submit a written request with reasonable particulars to the Company requesting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advance to Indemnitee all Expenses that may be reasonably incurred in advance by Indemnitee in connection with a Proceeding. The Company shall, within 10 business days of receiving such a written request by Indemnitee, advance all requested Expenses to Indemnitee. Any excess of the advanced Expenses over the actual Expenses will be repaid to the Company.</w:t>
      </w:r>
    </w:p>
    <w:p>
      <w:pPr>
        <w:spacing w:after="0" w:line="179" w:lineRule="exact"/>
        <w:rPr>
          <w:rFonts w:ascii="Times New Roman" w:cs="Times New Roman" w:eastAsia="Times New Roman" w:hAnsi="Times New Roman"/>
          <w:sz w:val="18"/>
          <w:szCs w:val="18"/>
          <w:color w:val="auto"/>
        </w:rPr>
      </w:pPr>
    </w:p>
    <w:p>
      <w:pPr>
        <w:jc w:val="both"/>
        <w:ind w:left="660" w:firstLine="320"/>
        <w:spacing w:after="0" w:line="261" w:lineRule="auto"/>
        <w:tabs>
          <w:tab w:leader="none" w:pos="1279"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Reimbursement of Expenses</w:t>
      </w:r>
      <w:r>
        <w:rPr>
          <w:rFonts w:ascii="Times New Roman" w:cs="Times New Roman" w:eastAsia="Times New Roman" w:hAnsi="Times New Roman"/>
          <w:sz w:val="18"/>
          <w:szCs w:val="18"/>
          <w:color w:val="auto"/>
        </w:rPr>
        <w:t>. To the extent Indemnitee has not requested any advanced payment of Expenses from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Indemnitee shall be entitled to receive reimbursement for the Expenses incurred in connection with a Proceeding from the Company immediately after Indemnitee makes a written request to the Company for reimbursement unless the Company refers the indemnification request to the Reviewing Party in compliance with Section C.2(c) below.</w:t>
      </w:r>
    </w:p>
    <w:p>
      <w:pPr>
        <w:spacing w:after="0" w:line="179" w:lineRule="exact"/>
        <w:rPr>
          <w:rFonts w:ascii="Times New Roman" w:cs="Times New Roman" w:eastAsia="Times New Roman" w:hAnsi="Times New Roman"/>
          <w:sz w:val="18"/>
          <w:szCs w:val="18"/>
          <w:color w:val="auto"/>
        </w:rPr>
      </w:pPr>
    </w:p>
    <w:p>
      <w:pPr>
        <w:jc w:val="both"/>
        <w:ind w:left="660" w:firstLine="320"/>
        <w:spacing w:after="0" w:line="255" w:lineRule="auto"/>
        <w:tabs>
          <w:tab w:leader="none" w:pos="1228"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Determination by the Reviewing Party</w:t>
      </w:r>
      <w:r>
        <w:rPr>
          <w:rFonts w:ascii="Times New Roman" w:cs="Times New Roman" w:eastAsia="Times New Roman" w:hAnsi="Times New Roman"/>
          <w:sz w:val="18"/>
          <w:szCs w:val="18"/>
          <w:color w:val="auto"/>
        </w:rPr>
        <w:t>. If the Company reasonably believes that it is not obligated under this Agreement to indemnify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Indemnitee, the Company shall, within 10 days after the Indemnitee’s written request for an advancement or reimbursement of Expenses, notify the Indemnitee that the request for advancement of Expenses or reimbursement of Expenses will be submitted to the Reviewing Party (as hereinafter defined). The Reviewing Party shall make a determination on the request within 30 days after the Indemnitee’s written request for an advancement or reimbursement of Expenses. Notwithstanding anything foregoing to the contrary, in the event the Reviewing Party informs the Company that Indemnitee is not entitled to indemnification in connection with a Proceeding under this Agreement or applicable law, the Company shall be entitled to be reimbursed by Indemnitee for all the Expenses previously advanced or otherwise paid to Indemnitee in connection with such Proceeding; p</w:t>
      </w:r>
      <w:r>
        <w:rPr>
          <w:rFonts w:ascii="Times New Roman" w:cs="Times New Roman" w:eastAsia="Times New Roman" w:hAnsi="Times New Roman"/>
          <w:sz w:val="18"/>
          <w:szCs w:val="18"/>
          <w:u w:val="single" w:color="auto"/>
          <w:color w:val="auto"/>
        </w:rPr>
        <w:t>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Indemnitee may bring a suit to enforce his/her indemnification right in accordance with Section C.3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ind w:left="-332" w:firstLine="332"/>
        <w:spacing w:after="0" w:line="256" w:lineRule="auto"/>
        <w:tabs>
          <w:tab w:leader="none" w:pos="17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Suit to Enforce Rights</w:t>
      </w:r>
      <w:r>
        <w:rPr>
          <w:rFonts w:ascii="Times New Roman" w:cs="Times New Roman" w:eastAsia="Times New Roman" w:hAnsi="Times New Roman"/>
          <w:sz w:val="18"/>
          <w:szCs w:val="18"/>
          <w:color w:val="auto"/>
        </w:rPr>
        <w:t>. Regardless of any action by the Reviewing Party, if Indemnitee has not received full indemnification within 30 days after making a written demand in accordance with Section C.2 above or 50 days if the Company submits a request for advancement or reimbursement to the Reviewing Party under Section C.2(c) above, Indemnitee shall have the right to enforce its indemnification rights under this Agreement by commencing litigation in any court of competent jurisdiction seeking a determination by the court or challenging any determination by the Reviewing Party or any aspect of this Agreement. Any determination by the Reviewing Party not challenged by Indemnitee and any judgment entered by the court shall be binding on the Company and Indemnitee.</w:t>
      </w:r>
    </w:p>
    <w:p>
      <w:pPr>
        <w:spacing w:after="0" w:line="187" w:lineRule="exact"/>
        <w:rPr>
          <w:rFonts w:ascii="Times New Roman" w:cs="Times New Roman" w:eastAsia="Times New Roman" w:hAnsi="Times New Roman"/>
          <w:sz w:val="18"/>
          <w:szCs w:val="18"/>
          <w:color w:val="auto"/>
        </w:rPr>
      </w:pPr>
    </w:p>
    <w:p>
      <w:pPr>
        <w:jc w:val="both"/>
        <w:ind w:left="-332" w:firstLine="332"/>
        <w:spacing w:after="0" w:line="254" w:lineRule="auto"/>
        <w:tabs>
          <w:tab w:leader="none" w:pos="17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Assumption of Defense</w:t>
      </w:r>
      <w:r>
        <w:rPr>
          <w:rFonts w:ascii="Times New Roman" w:cs="Times New Roman" w:eastAsia="Times New Roman" w:hAnsi="Times New Roman"/>
          <w:sz w:val="18"/>
          <w:szCs w:val="18"/>
          <w:color w:val="auto"/>
        </w:rPr>
        <w:t>. In the event the Company is obligated under this Agreement to advance or bear any Expenses for any Proceeding against Indemnitee, the Company shall be entitled to assume the defense of such Proceeding, with counsel approved by Indemnitee, upon delivery to Indemnitee of written notice of its election to do so. After delivery of such notice, approval of such counsel by Indemnitee and the retention of such counsel by the Company, the Company will not be liable to Indemnitee under this Agreement for any fees of counsel subsequently incurred by Indemnitee with respect to the same Proceeding, unless (i) the employment of counsel by Indemnitee has been previously authorized by the Company, (ii) Indemnitee shall have reasonably concluded, based on written advice of counsel, that there may be a conflict of interest of such counsel retained by the Company between the Company and Indemnitee in the conduct of any such defense, or (iii) the Company ceases or terminates the employment of such counsel with respect to the defense of such Proceeding, in any of which events the fees and expenses of Indemnitee’s counsel shall be at the expense of the Company. At all times, Indemnitee shall have the right to employ counsel in any Proceeding at Indemnitee’s expense.</w:t>
      </w:r>
    </w:p>
    <w:p>
      <w:pPr>
        <w:spacing w:after="0" w:line="188" w:lineRule="exact"/>
        <w:rPr>
          <w:rFonts w:ascii="Times New Roman" w:cs="Times New Roman" w:eastAsia="Times New Roman" w:hAnsi="Times New Roman"/>
          <w:sz w:val="18"/>
          <w:szCs w:val="18"/>
          <w:color w:val="auto"/>
        </w:rPr>
      </w:pPr>
    </w:p>
    <w:p>
      <w:pPr>
        <w:jc w:val="both"/>
        <w:ind w:left="-332" w:firstLine="332"/>
        <w:spacing w:after="0" w:line="261" w:lineRule="auto"/>
        <w:tabs>
          <w:tab w:leader="none" w:pos="17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Defense to Indemnification, Burden of Proof and Presumptions</w:t>
      </w:r>
      <w:r>
        <w:rPr>
          <w:rFonts w:ascii="Times New Roman" w:cs="Times New Roman" w:eastAsia="Times New Roman" w:hAnsi="Times New Roman"/>
          <w:sz w:val="18"/>
          <w:szCs w:val="18"/>
          <w:color w:val="auto"/>
        </w:rPr>
        <w:t>. It shall be a defense to any action brought by Indemnitee against the Company to enforce this Agreement that it is not permissible under this Agreement or applicable law for the Company to indemnify the Indemnitee for the amount claimed. In connection with any such action or any determination by the Reviewing Party or otherwise as to whether Indemnitee is entitled to be indemnified under this Agreement, the burden of proving such a defense or determination shall be on the Company.</w:t>
      </w:r>
    </w:p>
    <w:p>
      <w:pPr>
        <w:spacing w:after="0" w:line="179" w:lineRule="exact"/>
        <w:rPr>
          <w:rFonts w:ascii="Times New Roman" w:cs="Times New Roman" w:eastAsia="Times New Roman" w:hAnsi="Times New Roman"/>
          <w:sz w:val="18"/>
          <w:szCs w:val="18"/>
          <w:color w:val="auto"/>
        </w:rPr>
      </w:pPr>
    </w:p>
    <w:p>
      <w:pPr>
        <w:jc w:val="both"/>
        <w:ind w:left="-332" w:firstLine="332"/>
        <w:spacing w:after="0" w:line="266" w:lineRule="auto"/>
        <w:tabs>
          <w:tab w:leader="none" w:pos="18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Settlement without Consent</w:t>
      </w:r>
      <w:r>
        <w:rPr>
          <w:rFonts w:ascii="Times New Roman" w:cs="Times New Roman" w:eastAsia="Times New Roman" w:hAnsi="Times New Roman"/>
          <w:sz w:val="18"/>
          <w:szCs w:val="18"/>
          <w:color w:val="auto"/>
        </w:rPr>
        <w:t>. Neither party to this Agreement shall settle any Proceeding in any manner that would impose any damage, loss, penalty or limitation on Indemnitee without the other party’s written consent. Neither the Company nor Indemnitee shall unreasonably withhold its consent to any proposed settlement.</w:t>
      </w:r>
    </w:p>
    <w:p>
      <w:pPr>
        <w:spacing w:after="0" w:line="175" w:lineRule="exact"/>
        <w:rPr>
          <w:rFonts w:ascii="Times New Roman" w:cs="Times New Roman" w:eastAsia="Times New Roman" w:hAnsi="Times New Roman"/>
          <w:sz w:val="18"/>
          <w:szCs w:val="18"/>
          <w:color w:val="auto"/>
        </w:rPr>
      </w:pPr>
    </w:p>
    <w:p>
      <w:pPr>
        <w:jc w:val="both"/>
        <w:ind w:left="-332" w:firstLine="332"/>
        <w:spacing w:after="0" w:line="266" w:lineRule="auto"/>
        <w:tabs>
          <w:tab w:leader="none" w:pos="17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Participation</w:t>
      </w:r>
      <w:r>
        <w:rPr>
          <w:rFonts w:ascii="Times New Roman" w:cs="Times New Roman" w:eastAsia="Times New Roman" w:hAnsi="Times New Roman"/>
          <w:sz w:val="18"/>
          <w:szCs w:val="18"/>
          <w:color w:val="auto"/>
        </w:rPr>
        <w:t>. Subject to Section B.5, the Company shall not be liable to indemnify the Indemnitee under this Agreement with regard to any judicial action if the Company was not given a reasonable and timely opportunity, at its expense, to participate in the defense, conduct and/or settlement of such action.</w:t>
      </w:r>
    </w:p>
    <w:p>
      <w:pPr>
        <w:spacing w:after="0" w:line="175" w:lineRule="exact"/>
        <w:rPr>
          <w:rFonts w:ascii="Times New Roman" w:cs="Times New Roman" w:eastAsia="Times New Roman" w:hAnsi="Times New Roman"/>
          <w:sz w:val="18"/>
          <w:szCs w:val="18"/>
          <w:color w:val="auto"/>
        </w:rPr>
      </w:pPr>
    </w:p>
    <w:p>
      <w:pPr>
        <w:ind w:left="188" w:hanging="188"/>
        <w:spacing w:after="0"/>
        <w:tabs>
          <w:tab w:leader="none" w:pos="18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Reviewing Party.</w:t>
      </w:r>
    </w:p>
    <w:p>
      <w:pPr>
        <w:spacing w:after="0" w:line="225" w:lineRule="exact"/>
        <w:rPr>
          <w:rFonts w:ascii="Times New Roman" w:cs="Times New Roman" w:eastAsia="Times New Roman" w:hAnsi="Times New Roman"/>
          <w:sz w:val="18"/>
          <w:szCs w:val="18"/>
          <w:color w:val="auto"/>
        </w:rPr>
      </w:pPr>
    </w:p>
    <w:p>
      <w:pPr>
        <w:jc w:val="both"/>
        <w:ind w:left="328" w:firstLine="320"/>
        <w:spacing w:after="0" w:line="252" w:lineRule="auto"/>
        <w:tabs>
          <w:tab w:leader="none" w:pos="911"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the Reviewing Party with respect to each indemnification request of Indemnitee that is referred by the Company pursuant to Section C.2(c) above shall be (A) the Board of Directors by a majority vote of a quorum consisting of Disinterested Directors (as hereinafter defined), or (B) if a quorum of the Board of Directors consisting of Disinterested Directors is not obtainable or, even if obtainable, said Disinterested Directors so direct, by Independent Counsel in a written opinion to the Board of Directors, a copy of which shall be delivered to Indemnitee. If the Reviewing Party determines that Indemnitee is entitled to indemnification, payment to Indemnitee shall be made within 10 days after such determination. Indemnitee shall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Independent Counsel or member of the Board of Directors shall act reasonably and in good faith in making a determination under this Agreement of the Indemnitee’s entitlement to indemnification. Any reasonable costs or expenses (including reasonable attorneys’ fees and disbursements) incurred by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 “</w:t>
      </w:r>
      <w:r>
        <w:rPr>
          <w:rFonts w:ascii="Times New Roman" w:cs="Times New Roman" w:eastAsia="Times New Roman" w:hAnsi="Times New Roman"/>
          <w:sz w:val="18"/>
          <w:szCs w:val="18"/>
          <w:u w:val="single" w:color="auto"/>
          <w:color w:val="auto"/>
        </w:rPr>
        <w:t>Disinterested</w:t>
      </w:r>
      <w:r>
        <w:rPr>
          <w:rFonts w:ascii="Times New Roman" w:cs="Times New Roman" w:eastAsia="Times New Roman" w:hAnsi="Times New Roman"/>
          <w:sz w:val="18"/>
          <w:szCs w:val="18"/>
          <w:color w:val="auto"/>
        </w:rPr>
        <w:t xml:space="preserve"> Director” means a director of the Company who is not and was not a party to the Proceeding in respect of which indemnification is sought by 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428625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9" w:name="page10"/>
    <w:bookmarkEnd w:id="9"/>
    <w:p>
      <w:pPr>
        <w:jc w:val="both"/>
        <w:ind w:left="-320" w:firstLine="320"/>
        <w:spacing w:after="0" w:line="252" w:lineRule="auto"/>
        <w:tabs>
          <w:tab w:leader="none" w:pos="26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determination of entitlement to indemnification is to be made by Independent Counsel, the Independent Counsel shall be selected as provided in this Section C.8(b). The Independent Counsel shall be selected by Indemnitee (unless Indemnitee shall request that such selection be made by the Board of Directors, in which event the preceding sentence shall apply), and Indemnitee shall give written notice to the Company advising it of the identity of the Independent Counsel so selected. In either event, Indemnitee or the Company, as the case may be, may, within 10 days after such written notice of selection shall have been given, deliver to the Company or to Indemnitee, as the case may be, a written objection to such selection;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objection may be asserted only on the ground that the Independent Counsel so selected does not meet the requirements of “</w:t>
      </w:r>
      <w:r>
        <w:rPr>
          <w:rFonts w:ascii="Times New Roman" w:cs="Times New Roman" w:eastAsia="Times New Roman" w:hAnsi="Times New Roman"/>
          <w:sz w:val="18"/>
          <w:szCs w:val="18"/>
          <w:u w:val="single" w:color="auto"/>
          <w:color w:val="auto"/>
        </w:rPr>
        <w:t>Independent Counsel</w:t>
      </w:r>
      <w:r>
        <w:rPr>
          <w:rFonts w:ascii="Times New Roman" w:cs="Times New Roman" w:eastAsia="Times New Roman" w:hAnsi="Times New Roman"/>
          <w:sz w:val="18"/>
          <w:szCs w:val="18"/>
          <w:color w:val="auto"/>
        </w:rPr>
        <w:t>” as defined in Section C.8(d) of this Agreement, and the objection shall set forth with particularity the factual basis of such assertion. Absent a proper and timely objection, the person so selected shall act as Independent Counsel. If a written objection is made and substantiated, the Independent Counsel selected may not serve as Independent Counsel unless and until such objection is withdrawn or a court has determined that such objection is without merit. If, within 20 days after submission by Indemnitee of a written request for indemnification, no Independent Counsel shall have been selected and not objected to, either the Company or Indemnitee may petition a court of competent jurisdiction for resolution of any objection which shall have been made by the Company or Indemnitee to the other’s selection of Independent Counsel and/or for the appointment as Independent Counsel of a person selected by the court or by such other person as the court shall designate, and the person with respect to whom all objections are so resolved or the person so appointed shall act as Independent Counsel. The Company shall pay any and all reasonable fees and expenses of Independent Counsel incurred by such Independent Counsel in connection with acting under this Agreement, and the Company shall pay all reasonable fees and expenses incident to the procedures of this Section C.8(b), regardless of the manner in which such Independent Counsel was selected or appointed.</w:t>
      </w:r>
    </w:p>
    <w:p>
      <w:pPr>
        <w:spacing w:after="0" w:line="193" w:lineRule="exact"/>
        <w:rPr>
          <w:rFonts w:ascii="Times New Roman" w:cs="Times New Roman" w:eastAsia="Times New Roman" w:hAnsi="Times New Roman"/>
          <w:sz w:val="18"/>
          <w:szCs w:val="18"/>
          <w:color w:val="auto"/>
        </w:rPr>
      </w:pPr>
    </w:p>
    <w:p>
      <w:pPr>
        <w:jc w:val="both"/>
        <w:ind w:left="-320" w:firstLine="320"/>
        <w:spacing w:after="0" w:line="252" w:lineRule="auto"/>
        <w:tabs>
          <w:tab w:leader="none" w:pos="25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making a determination with respect to entitlement to indemnification hereunder, the Reviewing Party shall presume that Indemnitee is entitled to indemnification under this Agreement if Indemnitee has submitted a request for indemnification in accordance with this Agreement, and the Company shall have the burden of proof to overcome that presumption in connection with the making by any person, persons or entity of any determination contrary to that presumption. The termination of any Proceeding or of any claim, issue or matter therein, by judgment, order, settlement (with or without court approval), conviction, or upon a plea of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or its equivalent, shall not (except as otherwise expressly provided in this Agreement) of itself adversely affect the right of Indemnitee to indemnification or create a presumption that Indemnitee did not act in good faith and in a manner which he/she reasonably believed to be in or not opposed to the best interests of the Company or, with respect to any criminal Proceeding, that Indemnitee had reasonable cause to believe that his/her conduct was unlawful. For purposes of any determination of good faith, Indemnitee shall be deemed to have acted in good faith if Indemnitee’s action is based on the records or books of account of the Company and any other corporation, partnership, joint venture or other entity of which Indemnitee is or was serving at the written request of the Company as a director, officer, employee, agent or fiduciary, including financial statements, or on information supplied to Indemnitee by the officers and directors of the Company or such other corporation, partnership, joint venture or other entity in the course of their duties, or on the advice of legal counsel for the Company or such other corporation, partnership, joint venture or other entity or on information or records given or reports made to the Company or such other corporation, partnership, joint venture or other entity by an independent certified public accountant or by an appraiser or other expert selected with reasonable care by the Company or such other corporation, partnership, joint venture or other entity. In addition, the knowledge and/or actions, or failure to act, of any director, officer, agent or employee of the Company or such other corporation, partnership, joint venture or other entity shall not be imputed to Indemnitee for purposes of determining the right to indemnification under this Agreement. The provisions of this Section C.8(c) shall not be deemed to be exclusive or to limit in any way the other circumstances in which the Indemnitee may be deemed to have met the applicable standard of conduct set forth in this Agreement.</w:t>
      </w:r>
    </w:p>
    <w:p>
      <w:pPr>
        <w:spacing w:after="0" w:line="190" w:lineRule="exact"/>
        <w:rPr>
          <w:rFonts w:ascii="Times New Roman" w:cs="Times New Roman" w:eastAsia="Times New Roman" w:hAnsi="Times New Roman"/>
          <w:sz w:val="18"/>
          <w:szCs w:val="18"/>
          <w:color w:val="auto"/>
        </w:rPr>
      </w:pPr>
    </w:p>
    <w:p>
      <w:pPr>
        <w:jc w:val="both"/>
        <w:ind w:left="-320" w:firstLine="320"/>
        <w:spacing w:after="0" w:line="254" w:lineRule="auto"/>
        <w:tabs>
          <w:tab w:leader="none" w:pos="28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Counsel</w:t>
      </w:r>
      <w:r>
        <w:rPr>
          <w:rFonts w:ascii="Times New Roman" w:cs="Times New Roman" w:eastAsia="Times New Roman" w:hAnsi="Times New Roman"/>
          <w:sz w:val="18"/>
          <w:szCs w:val="18"/>
          <w:color w:val="auto"/>
        </w:rPr>
        <w:t>” means a law firm, or a member of a law firm, that is experienced in matters of corporation law and neither presently is, nor in the past five years has been, retained to represent (i) the Company or Indemnitee in any matter material to either such party (other than with respect to matters concerning the Indemnitee under this Agreement, or of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of the Independent Counsel referred to above and to fully indemnify such counsel against any and all Expenses, claims, liabilities and damages arising out of or relating to this Agreement or its engagement pursuant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424815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60"/>
          </w:cols>
          <w:pgMar w:left="1300" w:top="90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D. DIRECTOR AND OFFICER LIABILITY INSURANCE</w:t>
      </w:r>
    </w:p>
    <w:p>
      <w:pPr>
        <w:spacing w:after="0" w:line="225" w:lineRule="exact"/>
        <w:rPr>
          <w:sz w:val="20"/>
          <w:szCs w:val="20"/>
          <w:color w:val="auto"/>
        </w:rPr>
      </w:pPr>
    </w:p>
    <w:p>
      <w:pPr>
        <w:jc w:val="both"/>
        <w:ind w:firstLine="332"/>
        <w:spacing w:after="0" w:line="261" w:lineRule="auto"/>
        <w:tabs>
          <w:tab w:leader="none" w:pos="53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Faith Determination</w:t>
      </w:r>
      <w:r>
        <w:rPr>
          <w:rFonts w:ascii="Times New Roman" w:cs="Times New Roman" w:eastAsia="Times New Roman" w:hAnsi="Times New Roman"/>
          <w:sz w:val="18"/>
          <w:szCs w:val="18"/>
          <w:color w:val="auto"/>
        </w:rPr>
        <w:t>. The Company shall from time to time make the good faith determination whether or not it is practicable for the Company to obtain and maintain a policy or policies of insurance with reputable insurance companies providing the officers and directors of the Company with coverage for losses incurred in connection with their services to the Company or to ensure the Company’s performance of its indemnification obligations under this Agreement.</w:t>
      </w:r>
    </w:p>
    <w:p>
      <w:pPr>
        <w:spacing w:after="0" w:line="179" w:lineRule="exact"/>
        <w:rPr>
          <w:rFonts w:ascii="Times New Roman" w:cs="Times New Roman" w:eastAsia="Times New Roman" w:hAnsi="Times New Roman"/>
          <w:sz w:val="18"/>
          <w:szCs w:val="18"/>
          <w:color w:val="auto"/>
        </w:rPr>
      </w:pPr>
    </w:p>
    <w:p>
      <w:pPr>
        <w:jc w:val="both"/>
        <w:ind w:firstLine="332"/>
        <w:spacing w:after="0" w:line="266" w:lineRule="auto"/>
        <w:tabs>
          <w:tab w:leader="none" w:pos="50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Coverage of Indemnitee</w:t>
      </w:r>
      <w:r>
        <w:rPr>
          <w:rFonts w:ascii="Times New Roman" w:cs="Times New Roman" w:eastAsia="Times New Roman" w:hAnsi="Times New Roman"/>
          <w:sz w:val="18"/>
          <w:szCs w:val="18"/>
          <w:color w:val="auto"/>
        </w:rPr>
        <w:t>. To the extent the Company maintains an insurance policy or policies providing directors’ and officers’ liability insurance, Indemnitee shall be covered by such policy or policies, in accordance with its or their terms, to the maximum extent of the coverage available for any of the Company’s directors or officers.</w:t>
      </w:r>
    </w:p>
    <w:p>
      <w:pPr>
        <w:spacing w:after="0" w:line="175" w:lineRule="exact"/>
        <w:rPr>
          <w:rFonts w:ascii="Times New Roman" w:cs="Times New Roman" w:eastAsia="Times New Roman" w:hAnsi="Times New Roman"/>
          <w:sz w:val="18"/>
          <w:szCs w:val="18"/>
          <w:color w:val="auto"/>
        </w:rPr>
      </w:pPr>
    </w:p>
    <w:p>
      <w:pPr>
        <w:jc w:val="both"/>
        <w:ind w:firstLine="332"/>
        <w:spacing w:after="0" w:line="261" w:lineRule="auto"/>
        <w:tabs>
          <w:tab w:leader="none" w:pos="50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w:t>
      </w:r>
      <w:r>
        <w:rPr>
          <w:rFonts w:ascii="Times New Roman" w:cs="Times New Roman" w:eastAsia="Times New Roman" w:hAnsi="Times New Roman"/>
          <w:sz w:val="18"/>
          <w:szCs w:val="18"/>
          <w:color w:val="auto"/>
        </w:rPr>
        <w:t>. Notwithstanding the foregoing, the Company shall have no obligation to obtain or maintain any director and officer insurance policy if the Company determines in good faith that such insurance is not reasonably available in the case that (i) premium costs for such insurance are disproportionate to the amount of coverage provided, or (ii) the coverage provided by such insurance is limited by exclusions so as to provide an insufficient benefit.</w:t>
      </w:r>
    </w:p>
    <w:p>
      <w:pPr>
        <w:spacing w:after="0" w:line="179" w:lineRule="exact"/>
        <w:rPr>
          <w:rFonts w:ascii="Times New Roman" w:cs="Times New Roman" w:eastAsia="Times New Roman" w:hAnsi="Times New Roman"/>
          <w:sz w:val="18"/>
          <w:szCs w:val="18"/>
          <w:color w:val="auto"/>
        </w:rPr>
      </w:pPr>
    </w:p>
    <w:p>
      <w:pPr>
        <w:ind w:left="200" w:hanging="192"/>
        <w:spacing w:after="0"/>
        <w:tabs>
          <w:tab w:leader="none" w:pos="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NON-EXCLUSIVITY; U.S. FEDERAL PREEMPTION; TERM</w:t>
      </w:r>
    </w:p>
    <w:p>
      <w:pPr>
        <w:spacing w:after="0" w:line="225" w:lineRule="exact"/>
        <w:rPr>
          <w:rFonts w:ascii="Times New Roman" w:cs="Times New Roman" w:eastAsia="Times New Roman" w:hAnsi="Times New Roman"/>
          <w:sz w:val="18"/>
          <w:szCs w:val="18"/>
          <w:color w:val="auto"/>
        </w:rPr>
      </w:pPr>
    </w:p>
    <w:p>
      <w:pPr>
        <w:jc w:val="both"/>
        <w:ind w:right="20" w:firstLine="332"/>
        <w:spacing w:after="0" w:line="258" w:lineRule="auto"/>
        <w:tabs>
          <w:tab w:leader="none" w:pos="50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Non-Exclusivity</w:t>
      </w:r>
      <w:r>
        <w:rPr>
          <w:rFonts w:ascii="Times New Roman" w:cs="Times New Roman" w:eastAsia="Times New Roman" w:hAnsi="Times New Roman"/>
          <w:sz w:val="18"/>
          <w:szCs w:val="18"/>
          <w:color w:val="auto"/>
        </w:rPr>
        <w:t>. The indemnification provided by this Agreement shall not be deemed exclusive of any rights to which Indemnitee may be entitled under the Company’s current memorandum and articles of association, as may be amended from time to time, applicable law or any written agreement between Indemnitee and the Company (including its subsidiaries and affiliates). The indemnification provided under this Agreement shall continue to be available to Indemnitee for any action taken or not taken while serving in an indemnified capacity even though he/she may have ceased to serve in any such capacity at the time of any Proceeding.</w:t>
      </w:r>
    </w:p>
    <w:p>
      <w:pPr>
        <w:spacing w:after="0" w:line="183" w:lineRule="exact"/>
        <w:rPr>
          <w:rFonts w:ascii="Times New Roman" w:cs="Times New Roman" w:eastAsia="Times New Roman" w:hAnsi="Times New Roman"/>
          <w:sz w:val="18"/>
          <w:szCs w:val="18"/>
          <w:color w:val="auto"/>
        </w:rPr>
      </w:pPr>
    </w:p>
    <w:p>
      <w:pPr>
        <w:jc w:val="both"/>
        <w:ind w:firstLine="332"/>
        <w:spacing w:after="0" w:line="256" w:lineRule="auto"/>
        <w:tabs>
          <w:tab w:leader="none" w:pos="50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Federal Preemption</w:t>
      </w:r>
      <w:r>
        <w:rPr>
          <w:rFonts w:ascii="Times New Roman" w:cs="Times New Roman" w:eastAsia="Times New Roman" w:hAnsi="Times New Roman"/>
          <w:sz w:val="18"/>
          <w:szCs w:val="18"/>
          <w:color w:val="auto"/>
        </w:rPr>
        <w:t>. Notwithstanding the foregoing, both the Company and Indemnitee acknowledge that in certain instances, U.S. federal law or public policy may override applicable law and prohibit the Company from indemnifying its directors and officers under this Agreement or otherwise. Such instances include, but are not limited to,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”)’s prohibition on indemnification for liabilities arising under certain U.S. federal securities laws. Indemnitee understands and acknowledges that the Company has undertaken or may be required in the future to undertake with the SEC to submit the question of indemnification to a court in certain circumstances for a determination of the Company’s right under public policy to indemnify Indemnitee.</w:t>
      </w:r>
    </w:p>
    <w:p>
      <w:pPr>
        <w:spacing w:after="0" w:line="187" w:lineRule="exact"/>
        <w:rPr>
          <w:rFonts w:ascii="Times New Roman" w:cs="Times New Roman" w:eastAsia="Times New Roman" w:hAnsi="Times New Roman"/>
          <w:sz w:val="18"/>
          <w:szCs w:val="18"/>
          <w:color w:val="auto"/>
        </w:rPr>
      </w:pPr>
    </w:p>
    <w:p>
      <w:pPr>
        <w:jc w:val="both"/>
        <w:ind w:firstLine="332"/>
        <w:spacing w:after="0" w:line="256" w:lineRule="auto"/>
        <w:tabs>
          <w:tab w:leader="none" w:pos="50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Duration of Agreement</w:t>
      </w:r>
      <w:r>
        <w:rPr>
          <w:rFonts w:ascii="Times New Roman" w:cs="Times New Roman" w:eastAsia="Times New Roman" w:hAnsi="Times New Roman"/>
          <w:sz w:val="18"/>
          <w:szCs w:val="18"/>
          <w:color w:val="auto"/>
        </w:rPr>
        <w:t>. All agreements and obligations of the Company contained herein shall continue during the period Indemnitee is an officer and/or a director of the Company (or is or was serving at the request of the Company as a director, officer, employee or agent of another corporation, partnership, joint venture, trust or other enterprise) and shall continue thereafter so long as Indemnitee shall be subject to any Proceeding by reason of his/her former or current capacity at the Company, whether or not he/she is acting or serving in any such capacity at the time any Expense is incurred for which indemnification can be provided under this Agreement. This Agreement shall continue in effect regardless of whether Indemnitee continues to serve as an officer and/or a director of the Company or any other enterprise at the Company’s request.</w:t>
      </w:r>
    </w:p>
    <w:p>
      <w:pPr>
        <w:spacing w:after="0" w:line="187"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MISCELLANEOUS</w:t>
      </w:r>
    </w:p>
    <w:p>
      <w:pPr>
        <w:spacing w:after="0" w:line="225" w:lineRule="exact"/>
        <w:rPr>
          <w:rFonts w:ascii="Times New Roman" w:cs="Times New Roman" w:eastAsia="Times New Roman" w:hAnsi="Times New Roman"/>
          <w:sz w:val="18"/>
          <w:szCs w:val="18"/>
          <w:color w:val="auto"/>
        </w:rPr>
      </w:pPr>
    </w:p>
    <w:p>
      <w:pPr>
        <w:jc w:val="both"/>
        <w:ind w:firstLine="332"/>
        <w:spacing w:after="0" w:line="261" w:lineRule="auto"/>
        <w:tabs>
          <w:tab w:leader="none" w:pos="50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this Agreement</w:t>
      </w:r>
      <w:r>
        <w:rPr>
          <w:rFonts w:ascii="Times New Roman" w:cs="Times New Roman" w:eastAsia="Times New Roman" w:hAnsi="Times New Roman"/>
          <w:sz w:val="18"/>
          <w:szCs w:val="18"/>
          <w:color w:val="auto"/>
        </w:rPr>
        <w:t>. No supplement, modification, or amendment of this Agreement shall be binding unless executed in writing by the parties hereto. No waiver of any of the provisions of this Agreement shall operate as a waiver of any other provisions (whether or not similar), nor shall such waiver constitute a continuing waiver. Except as specifically provided in this Agreement, no failure to exercise or any delay in exercising any right or remedy shall constitute a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ind w:firstLine="332"/>
        <w:spacing w:after="0" w:line="266" w:lineRule="auto"/>
        <w:tabs>
          <w:tab w:leader="none" w:pos="50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Subrogation</w:t>
      </w:r>
      <w:r>
        <w:rPr>
          <w:rFonts w:ascii="Times New Roman" w:cs="Times New Roman" w:eastAsia="Times New Roman" w:hAnsi="Times New Roman"/>
          <w:sz w:val="18"/>
          <w:szCs w:val="18"/>
          <w:color w:val="auto"/>
        </w:rPr>
        <w:t>. In the event of payment to Indemnitee by the Company under this Agreement, the Company shall be subrogated to the extent of such payment to all of the rights of recovery of Indemnitee, who shall execute all papers required and shall do everything that may be necessary to secure such rights, including the execution of such documents necessary to enable the Company to bring suit to enforce such rights.</w:t>
      </w:r>
    </w:p>
    <w:p>
      <w:pPr>
        <w:spacing w:after="0" w:line="175" w:lineRule="exact"/>
        <w:rPr>
          <w:rFonts w:ascii="Times New Roman" w:cs="Times New Roman" w:eastAsia="Times New Roman" w:hAnsi="Times New Roman"/>
          <w:sz w:val="18"/>
          <w:szCs w:val="18"/>
          <w:color w:val="auto"/>
        </w:rPr>
      </w:pPr>
    </w:p>
    <w:p>
      <w:pPr>
        <w:jc w:val="both"/>
        <w:ind w:firstLine="332"/>
        <w:spacing w:after="0" w:line="256" w:lineRule="auto"/>
        <w:tabs>
          <w:tab w:leader="none" w:pos="50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Binding Effect</w:t>
      </w:r>
      <w:r>
        <w:rPr>
          <w:rFonts w:ascii="Times New Roman" w:cs="Times New Roman" w:eastAsia="Times New Roman" w:hAnsi="Times New Roman"/>
          <w:sz w:val="18"/>
          <w:szCs w:val="18"/>
          <w:color w:val="auto"/>
        </w:rPr>
        <w:t>. Neither this Agreement nor any of the rights or obligations hereunder may be assigned by either party hereto without the prior written consent of the other party; except that the Company may, without such consent, assign all such rights and obligations to a successor in interest to the Company which assumes all obligations of the Company under this Agreement. Notwithstanding the foregoing, this Agreement shall be binding upon and inure to the benefit of and be enforceable by and against the parties hereto and the Company’s successors (including any direct or indirect successor by purchase, merger, consolidation, or otherwise to all or substantially all of the business and/or assets of the Company) and assigns, as well as Indemnitee’s spouses, heirs, and personal and legal representatives.</w:t>
      </w:r>
    </w:p>
    <w:p>
      <w:pPr>
        <w:spacing w:after="0" w:line="187" w:lineRule="exact"/>
        <w:rPr>
          <w:rFonts w:ascii="Times New Roman" w:cs="Times New Roman" w:eastAsia="Times New Roman" w:hAnsi="Times New Roman"/>
          <w:sz w:val="18"/>
          <w:szCs w:val="18"/>
          <w:color w:val="auto"/>
        </w:rPr>
      </w:pPr>
    </w:p>
    <w:p>
      <w:pPr>
        <w:jc w:val="both"/>
        <w:ind w:firstLine="332"/>
        <w:spacing w:after="0" w:line="256" w:lineRule="auto"/>
        <w:tabs>
          <w:tab w:leader="none" w:pos="50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 and Construction</w:t>
      </w:r>
      <w:r>
        <w:rPr>
          <w:rFonts w:ascii="Times New Roman" w:cs="Times New Roman" w:eastAsia="Times New Roman" w:hAnsi="Times New Roman"/>
          <w:sz w:val="18"/>
          <w:szCs w:val="18"/>
          <w:color w:val="auto"/>
        </w:rPr>
        <w:t>. Nothing in this Agreement is intended to require or shall be construed as requiring the Company to do or fail to do any act in violation of applicable law. The Company’s inability, pursuant to a court order, to perform its obligations under this Agreement shall not constitute a breach of this Agreement. In addition, if any portion of this Agreement shall be held by a court of competent jurisdiction to be invalid, void, or otherwise unenforceable, the remaining provisions shall remain enforceable to the fullest extent permitted by applicable law. The parties hereto acknowledge that they each have opportunities to have their respective counsels review this Agreement. Accordingly, this Agreement shall be deemed to be the product of both of the parties hereto, and no ambiguity shall be construed in favor of or against either of the parties hereto.</w:t>
      </w:r>
    </w:p>
    <w:p>
      <w:pPr>
        <w:spacing w:after="0" w:line="187"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counterparts, both of which taken together shall constitute one instrument.</w:t>
      </w:r>
    </w:p>
    <w:p>
      <w:pPr>
        <w:spacing w:after="0" w:line="225" w:lineRule="exact"/>
        <w:rPr>
          <w:rFonts w:ascii="Times New Roman" w:cs="Times New Roman" w:eastAsia="Times New Roman" w:hAnsi="Times New Roman"/>
          <w:sz w:val="18"/>
          <w:szCs w:val="18"/>
          <w:color w:val="auto"/>
        </w:rPr>
      </w:pPr>
    </w:p>
    <w:p>
      <w:pPr>
        <w:ind w:right="20" w:firstLine="332"/>
        <w:spacing w:after="0" w:line="282" w:lineRule="auto"/>
        <w:tabs>
          <w:tab w:leader="none" w:pos="50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all acts and transactions pursuant hereto and the rights and obligations of the parties hereto shall be governed, construed and interpreted in accordance with the laws of the Cayman Islands, without giving effect to conflicts of law provisions thereof.</w:t>
      </w:r>
    </w:p>
    <w:p>
      <w:pPr>
        <w:spacing w:after="0" w:line="161" w:lineRule="exact"/>
        <w:rPr>
          <w:rFonts w:ascii="Times New Roman" w:cs="Times New Roman" w:eastAsia="Times New Roman" w:hAnsi="Times New Roman"/>
          <w:sz w:val="18"/>
          <w:szCs w:val="18"/>
          <w:color w:val="auto"/>
        </w:rPr>
      </w:pPr>
    </w:p>
    <w:p>
      <w:pPr>
        <w:jc w:val="both"/>
        <w:ind w:firstLine="332"/>
        <w:spacing w:after="0" w:line="266" w:lineRule="auto"/>
        <w:tabs>
          <w:tab w:leader="none" w:pos="50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demands, and other communications required or permitted under this Agreement shall be made in writing and shall be deemed to have been duly given if delivered by hand, against receipt, or mailed via postage prepaid, certified or registered mail, return receipt requested, and addressed to the Company at:</w:t>
      </w:r>
    </w:p>
    <w:p>
      <w:pPr>
        <w:spacing w:after="0" w:line="17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Baosheng Media Group Holdings Limited</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East Floor 5, Building No. 8, Xishanhui</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Shijingshan District, Beijing</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People’s Republic of China 100041</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Attention: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to Indemnitee at his/her address last known to the Company.</w:t>
      </w:r>
    </w:p>
    <w:p>
      <w:pPr>
        <w:spacing w:after="0" w:line="225" w:lineRule="exact"/>
        <w:rPr>
          <w:sz w:val="20"/>
          <w:szCs w:val="20"/>
          <w:color w:val="auto"/>
        </w:rPr>
      </w:pPr>
    </w:p>
    <w:p>
      <w:pPr>
        <w:ind w:right="20" w:firstLine="332"/>
        <w:spacing w:after="0" w:line="282" w:lineRule="auto"/>
        <w:tabs>
          <w:tab w:leader="none" w:pos="50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agreement and supersedes all prior agreements and understandings, both written and oral, between the parties with respect to the subject matter hereof.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color w:val="auto"/>
        </w:rPr>
        <w:t>IN WITNESS WHEREOF, the parties hereto execute this Agreement as of the date first written above.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Baosheng Media Group Holdings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Lina Jiang</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CEO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[Signature Page to Indemnification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upperLetter"/>
      <w:start w:val="1"/>
    </w:lvl>
    <w:lvl w:ilvl="1">
      <w:lvlJc w:val="left"/>
      <w:lvlText w:val="%2."/>
      <w:numFmt w:val="decimal"/>
      <w:start w:val="4"/>
    </w:lvl>
    <w:lvl w:ilvl="2">
      <w:lvlJc w:val="left"/>
      <w:lvlText w:val="%3"/>
      <w:numFmt w:val="lowerLetter"/>
      <w:start w:val="1"/>
    </w:lvl>
  </w:abstractNum>
  <w:abstractNum w:abstractNumId="2">
    <w:nsid w:val="507ED7AB"/>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3">
    <w:nsid w:val="2EB141F2"/>
    <w:multiLevelType w:val="hybridMultilevel"/>
    <w:lvl w:ilvl="0">
      <w:lvlJc w:val="left"/>
      <w:lvlText w:val="%1."/>
      <w:numFmt w:val="decimal"/>
      <w:start w:val="3"/>
    </w:lvl>
    <w:lvl w:ilvl="1">
      <w:lvlJc w:val="left"/>
      <w:lvlText w:val="(%2)"/>
      <w:numFmt w:val="lowerLetter"/>
      <w:start w:val="1"/>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upperLetter"/>
      <w:start w:val="1"/>
    </w:lvl>
    <w:lvl w:ilvl="1">
      <w:lvlJc w:val="left"/>
      <w:lvlText w:val="%2."/>
      <w:numFmt w:val="decimal"/>
      <w:start w:val="1"/>
    </w:lvl>
  </w:abstractNum>
  <w:abstractNum w:abstractNumId="6">
    <w:nsid w:val="7545E146"/>
    <w:multiLevelType w:val="hybridMultilevel"/>
    <w:lvl w:ilvl="0">
      <w:lvlJc w:val="left"/>
      <w:lvlText w:val="%1."/>
      <w:numFmt w:val="upperLetter"/>
      <w:start w:val="5"/>
    </w:lvl>
    <w:lvl w:ilvl="1">
      <w:lvlJc w:val="left"/>
      <w:lvlText w:val="%2."/>
      <w:numFmt w:val="decimal"/>
      <w:start w:val="1"/>
    </w:lvl>
  </w:abstractNum>
  <w:abstractNum w:abstractNumId="7">
    <w:nsid w:val="515F007C"/>
    <w:multiLevelType w:val="hybridMultilevel"/>
    <w:lvl w:ilvl="0">
      <w:lvlJc w:val="left"/>
      <w:lvlText w:val="%1."/>
      <w:numFmt w:val="decimal"/>
      <w:start w:val="2"/>
    </w:lvl>
  </w:abstractNum>
  <w:abstractNum w:abstractNumId="8">
    <w:nsid w:val="5BD062C2"/>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13" Type="http://schemas.openxmlformats.org/officeDocument/2006/relationships/hyperlink" Target="https://www.sec.gov/Archives/edgar/data/1811216/000110465923087858/tm2322565d1_f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2026-06-04T16:06:23Z</dcterms:created>
  <dcterms:modified xsi:type="dcterms:W3CDTF">2026-06-04T16:06:23Z</dcterms:modified>
</cp:coreProperties>
</file>