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0497d1_6k.htm"/>
      <w:bookmarkStart w:id="1" w:name="kstm2620497d1_6k"/>
      <w:bookmarkEnd w:id="0"/>
      <w:bookmarkEnd w:id="1"/>
      <w:r>
        <w:rPr/>
        <w:t> </w:t>
      </w:r>
    </w:p>
    <w:p>
      <w:pPr>
        <w:pStyle w:val="TextBody"/>
        <w:bidi w:val="0"/>
        <w:spacing w:before="6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001-39977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Baosheng Media Group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East Floor 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No. 8, Xishanhui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Shijingshan District, Beijing 100041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+86-010-82088021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including Exhibit 5.1, Exhibit 5.2, Exhibit 23.1 and Exhibit 23.2 hereto, shall be deemed to be incorporated by reference into the registration statement on </w:t>
      </w:r>
      <w:r>
        <w:rPr>
          <w:rFonts w:ascii="Times New Roman;Times;Serif" w:hAnsi="Times New Roman;Times;Serif"/>
          <w:b w:val="false"/>
          <w:i w:val="false"/>
          <w:caps w:val="false"/>
          <w:smallCaps w:val="false"/>
          <w:sz w:val="20"/>
          <w:u w:val="single"/>
        </w:rPr>
        <w:t>Form F-3 (File No. 333-273720)</w:t>
      </w:r>
      <w:r>
        <w:rPr>
          <w:rFonts w:ascii="Times New Roman;Times;Serif" w:hAnsi="Times New Roman;Times;Serif"/>
          <w:b w:val="false"/>
          <w:i w:val="false"/>
          <w:caps w:val="false"/>
          <w:smallCaps w:val="false"/>
          <w:sz w:val="20"/>
        </w:rPr>
        <w:t> of the Company, as amended, and to be a part thereof from the date on which this report is filed,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7105" w:type="dxa"/>
        <w:jc w:val="left"/>
        <w:tblInd w:w="0" w:type="dxa"/>
        <w:tblLayout w:type="fixed"/>
        <w:tblCellMar>
          <w:top w:w="0" w:type="dxa"/>
          <w:left w:w="0" w:type="dxa"/>
          <w:bottom w:w="28" w:type="dxa"/>
          <w:right w:w="0" w:type="dxa"/>
        </w:tblCellMar>
      </w:tblPr>
      <w:tblGrid>
        <w:gridCol w:w="995"/>
        <w:gridCol w:w="60"/>
        <w:gridCol w:w="605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CCEEFF" w:val="clear"/>
            <w:tcMar>
              <w:bottom w:w="0" w:type="dxa"/>
            </w:tcMar>
            <w:vAlign w:val="center"/>
          </w:tcPr>
          <w:p>
            <w:pPr>
              <w:pStyle w:val="TableContents"/>
              <w:bidi w:val="0"/>
              <w:spacing w:before="0" w:after="283"/>
              <w:jc w:val="left"/>
              <w:rPr/>
            </w:pPr>
            <w:hyperlink w:anchor="tm2620497d1_ex5-1.htm">
              <w:r>
                <w:rPr>
                  <w:rStyle w:val="InternetLink"/>
                  <w:rFonts w:ascii="Times New Roman;Times;Serif" w:hAnsi="Times New Roman;Times;Serif"/>
                  <w:b w:val="false"/>
                  <w:i w:val="false"/>
                  <w:caps w:val="false"/>
                  <w:smallCaps w:val="false"/>
                  <w:sz w:val="20"/>
                </w:rPr>
                <w:t>5.1</w:t>
              </w:r>
            </w:hyperlink>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50" w:type="dxa"/>
            <w:tcBorders/>
            <w:shd w:fill="CCEEFF" w:val="clear"/>
            <w:tcMar>
              <w:bottom w:w="0" w:type="dxa"/>
            </w:tcMar>
            <w:vAlign w:val="center"/>
          </w:tcPr>
          <w:p>
            <w:pPr>
              <w:pStyle w:val="TableContents"/>
              <w:bidi w:val="0"/>
              <w:spacing w:before="0" w:after="283"/>
              <w:jc w:val="both"/>
              <w:rPr/>
            </w:pPr>
            <w:hyperlink w:anchor="tm2620497d1_ex5-1.htm">
              <w:r>
                <w:rPr>
                  <w:rStyle w:val="InternetLink"/>
                  <w:rFonts w:ascii="Times New Roman;Times;Serif" w:hAnsi="Times New Roman;Times;Serif"/>
                  <w:b w:val="false"/>
                  <w:i w:val="false"/>
                  <w:caps w:val="false"/>
                  <w:smallCaps w:val="false"/>
                  <w:sz w:val="20"/>
                </w:rPr>
                <w:t>Opinion of Maples and Calder (Hong Kong) LLP</w:t>
              </w:r>
            </w:hyperlink>
          </w:p>
        </w:tc>
      </w:tr>
      <w:tr>
        <w:trPr/>
        <w:tc>
          <w:tcPr>
            <w:tcW w:w="995" w:type="dxa"/>
            <w:tcBorders/>
            <w:shd w:fill="FFFFFF" w:val="clear"/>
            <w:tcMar>
              <w:bottom w:w="0" w:type="dxa"/>
            </w:tcMar>
            <w:vAlign w:val="center"/>
          </w:tcPr>
          <w:p>
            <w:pPr>
              <w:pStyle w:val="TableContents"/>
              <w:bidi w:val="0"/>
              <w:spacing w:before="0" w:after="283"/>
              <w:jc w:val="left"/>
              <w:rPr/>
            </w:pPr>
            <w:hyperlink w:anchor="tm2620497d1_ex5-2.htm">
              <w:r>
                <w:rPr>
                  <w:rStyle w:val="InternetLink"/>
                  <w:rFonts w:ascii="Times New Roman;Times;Serif" w:hAnsi="Times New Roman;Times;Serif"/>
                  <w:b w:val="false"/>
                  <w:i w:val="false"/>
                  <w:caps w:val="false"/>
                  <w:smallCaps w:val="false"/>
                  <w:sz w:val="20"/>
                </w:rPr>
                <w:t>5.2</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50" w:type="dxa"/>
            <w:tcBorders/>
            <w:shd w:fill="FFFFFF" w:val="clear"/>
            <w:tcMar>
              <w:bottom w:w="0" w:type="dxa"/>
            </w:tcMar>
            <w:vAlign w:val="center"/>
          </w:tcPr>
          <w:p>
            <w:pPr>
              <w:pStyle w:val="TableContents"/>
              <w:bidi w:val="0"/>
              <w:spacing w:before="0" w:after="283"/>
              <w:jc w:val="both"/>
              <w:rPr/>
            </w:pPr>
            <w:hyperlink w:anchor="tm2620497d1_ex5-2.htm">
              <w:r>
                <w:rPr>
                  <w:rStyle w:val="InternetLink"/>
                  <w:rFonts w:ascii="Times New Roman;Times;Serif" w:hAnsi="Times New Roman;Times;Serif"/>
                  <w:b w:val="false"/>
                  <w:i w:val="false"/>
                  <w:caps w:val="false"/>
                  <w:smallCaps w:val="false"/>
                  <w:sz w:val="20"/>
                </w:rPr>
                <w:t>Opinion of CFN Lawyers LLC</w:t>
              </w:r>
            </w:hyperlink>
          </w:p>
        </w:tc>
      </w:tr>
      <w:tr>
        <w:trPr/>
        <w:tc>
          <w:tcPr>
            <w:tcW w:w="995" w:type="dxa"/>
            <w:tcBorders/>
            <w:shd w:fill="CCEEFF" w:val="clear"/>
            <w:tcMar>
              <w:bottom w:w="0" w:type="dxa"/>
            </w:tcMar>
            <w:vAlign w:val="center"/>
          </w:tcPr>
          <w:p>
            <w:pPr>
              <w:pStyle w:val="TableContents"/>
              <w:bidi w:val="0"/>
              <w:spacing w:before="0" w:after="283"/>
              <w:jc w:val="left"/>
              <w:rPr/>
            </w:pPr>
            <w:hyperlink w:anchor="tm2620497d1_ex5-2.htm">
              <w:r>
                <w:rPr>
                  <w:rStyle w:val="InternetLink"/>
                  <w:rFonts w:ascii="Times New Roman;Times;Serif" w:hAnsi="Times New Roman;Times;Serif"/>
                  <w:b w:val="false"/>
                  <w:i w:val="false"/>
                  <w:caps w:val="false"/>
                  <w:smallCaps w:val="false"/>
                  <w:sz w:val="20"/>
                </w:rPr>
                <w:t>23.1</w:t>
              </w:r>
            </w:hyperlink>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50" w:type="dxa"/>
            <w:tcBorders/>
            <w:shd w:fill="CCEEFF" w:val="clear"/>
            <w:tcMar>
              <w:bottom w:w="0" w:type="dxa"/>
            </w:tcMar>
            <w:vAlign w:val="center"/>
          </w:tcPr>
          <w:p>
            <w:pPr>
              <w:pStyle w:val="TableContents"/>
              <w:bidi w:val="0"/>
              <w:spacing w:before="0" w:after="283"/>
              <w:jc w:val="both"/>
              <w:rPr/>
            </w:pPr>
            <w:hyperlink w:anchor="tm2620497d1_ex5-2.htm">
              <w:r>
                <w:rPr>
                  <w:rStyle w:val="InternetLink"/>
                  <w:rFonts w:ascii="Times New Roman;Times;Serif" w:hAnsi="Times New Roman;Times;Serif"/>
                  <w:b w:val="false"/>
                  <w:i w:val="false"/>
                  <w:caps w:val="false"/>
                  <w:smallCaps w:val="false"/>
                  <w:sz w:val="20"/>
                </w:rPr>
                <w:t>Consent of CFN Lawyers LLC (included in Exhibit 5.2)</w:t>
              </w:r>
            </w:hyperlink>
          </w:p>
        </w:tc>
      </w:tr>
      <w:tr>
        <w:trPr/>
        <w:tc>
          <w:tcPr>
            <w:tcW w:w="995" w:type="dxa"/>
            <w:tcBorders/>
            <w:shd w:fill="FFFFFF" w:val="clear"/>
            <w:tcMar>
              <w:bottom w:w="0" w:type="dxa"/>
            </w:tcMar>
            <w:vAlign w:val="center"/>
          </w:tcPr>
          <w:p>
            <w:pPr>
              <w:pStyle w:val="TableContents"/>
              <w:bidi w:val="0"/>
              <w:spacing w:before="0" w:after="283"/>
              <w:jc w:val="left"/>
              <w:rPr/>
            </w:pPr>
            <w:hyperlink w:anchor="tm2620497d1_ex5-1.htm">
              <w:r>
                <w:rPr>
                  <w:rStyle w:val="InternetLink"/>
                  <w:rFonts w:ascii="Times New Roman;Times;Serif" w:hAnsi="Times New Roman;Times;Serif"/>
                  <w:b w:val="false"/>
                  <w:i w:val="false"/>
                  <w:caps w:val="false"/>
                  <w:smallCaps w:val="false"/>
                  <w:sz w:val="20"/>
                </w:rPr>
                <w:t>23.2</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50" w:type="dxa"/>
            <w:tcBorders/>
            <w:shd w:fill="FFFFFF" w:val="clear"/>
            <w:tcMar>
              <w:bottom w:w="0" w:type="dxa"/>
            </w:tcMar>
            <w:vAlign w:val="center"/>
          </w:tcPr>
          <w:p>
            <w:pPr>
              <w:pStyle w:val="TableContents"/>
              <w:bidi w:val="0"/>
              <w:spacing w:before="0" w:after="283"/>
              <w:jc w:val="both"/>
              <w:rPr/>
            </w:pPr>
            <w:hyperlink w:anchor="tm2620497d1_ex5-1.htm">
              <w:r>
                <w:rPr>
                  <w:rStyle w:val="InternetLink"/>
                  <w:rFonts w:ascii="Times New Roman;Times;Serif" w:hAnsi="Times New Roman;Times;Serif"/>
                  <w:b w:val="false"/>
                  <w:i w:val="false"/>
                  <w:caps w:val="false"/>
                  <w:smallCaps w:val="false"/>
                  <w:sz w:val="20"/>
                </w:rPr>
                <w:t>Consent of Maples and Calder (Hong Kong) LLP (included in Exhibit 5.1)</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75"/>
        <w:gridCol w:w="545"/>
        <w:gridCol w:w="4430"/>
      </w:tblGrid>
      <w:tr>
        <w:trPr/>
        <w:tc>
          <w:tcPr>
            <w:tcW w:w="75"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Baosheng Media Group Holdings Limited</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Lina Jiang</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Lina Jiang</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Chairwoman of the Board and Chief Executive Officer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4430" w:type="dxa"/>
            <w:tcBorders/>
            <w:vAlign w:val="center"/>
          </w:tcPr>
          <w:p>
            <w:pPr>
              <w:pStyle w:val="TableContents"/>
              <w:bidi w:val="0"/>
              <w:spacing w:before="0" w:after="283"/>
              <w:jc w:val="left"/>
              <w:rPr/>
            </w:pPr>
            <w:r>
              <w:rPr>
                <w:rFonts w:ascii="Times New Roman;Times;Serif" w:hAnsi="Times New Roman;Times;Serif"/>
                <w:sz w:val="20"/>
              </w:rPr>
              <w:t>July 1</w:t>
            </w:r>
            <w:r>
              <w:rPr>
                <w:sz w:val="20"/>
              </w:rPr>
              <w:t>4, 2026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 w:name="tm2620497d1_ex5-1.htm"/>
      <w:bookmarkStart w:id="3" w:name="kstm2620497d1_ex5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504950" cy="1276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04950" cy="12763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Our ref</w:t>
      </w:r>
      <w:r>
        <w:rPr>
          <w:rFonts w:ascii="Times New Roman;Times;Serif" w:hAnsi="Times New Roman;Times;Serif"/>
          <w:b w:val="false"/>
          <w:i w:val="false"/>
          <w:caps w:val="false"/>
          <w:smallCaps w:val="false"/>
          <w:sz w:val="20"/>
        </w:rPr>
        <w:tab/>
        <w:t>     SQG/772613-000001/87060598v1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Baosheng Media Group Holdings Limited</w:t>
      </w:r>
    </w:p>
    <w:p>
      <w:pPr>
        <w:pStyle w:val="TextBody"/>
        <w:bidi w:val="0"/>
        <w:spacing w:before="0" w:after="0"/>
        <w:ind w:left="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宝盛传媒集团控股有限公司</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East Floor 5, Building No. 8, Xishanhui </w:t>
        <w:br/>
        <w:t>Shijingshan District, Beijing 100041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July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ascii="Times New Roman;Times;Serif" w:hAnsi="Times New Roman;Times;Serif"/>
          <w:b/>
          <w:i w:val="false"/>
          <w:caps w:val="false"/>
          <w:smallCaps w:val="false"/>
          <w:sz w:val="20"/>
        </w:rPr>
        <w:t xml:space="preserve">Baosheng Media Group Holdings Limited </w:t>
      </w:r>
      <w:r>
        <w:rPr>
          <w:rFonts w:eastAsia="Times New Roman;Times;Serif"/>
          <w:b w:val="false"/>
          <w:i w:val="false"/>
          <w:caps w:val="false"/>
          <w:smallCaps w:val="false"/>
          <w:sz w:val="20"/>
        </w:rPr>
        <w:t>宝盛传媒集团控股有限公司</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We have acted as Cayman Islands legal advisers to Baosheng Media Group Holdings Limited </w:t>
      </w:r>
      <w:r>
        <w:rPr>
          <w:rFonts w:eastAsia="Times New Roman;Times;Serif"/>
          <w:b w:val="false"/>
          <w:i w:val="false"/>
          <w:caps w:val="false"/>
          <w:smallCaps w:val="false"/>
          <w:sz w:val="20"/>
        </w:rPr>
        <w:t xml:space="preserve">宝 盛 传 媒 集 团 控 股 有 限 公 司 </w:t>
      </w: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Company’s registration statement on Form F-3, including all amendments or supplements thereto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initially filed on 4 August 2023 with the Securities and Exchange Commission under the U.S. Securities Act of 1933, as amended to date relating to securities to be issued and sold by the Company from time to time, and the prospectus supplement dated 13 July 2026 (the "</w:t>
      </w: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 relating to the issuance and sale of (i) up to US$30,000,000 of ordinary shares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of the Company, par value US$0.0096 per share (the “</w:t>
      </w:r>
      <w:r>
        <w:rPr>
          <w:rFonts w:ascii="Times New Roman;Times;Serif" w:hAnsi="Times New Roman;Times;Serif"/>
          <w:b/>
          <w:i w:val="false"/>
          <w:caps w:val="false"/>
          <w:smallCaps w:val="false"/>
          <w:sz w:val="20"/>
        </w:rPr>
        <w:t>Purchase Shares</w:t>
      </w:r>
      <w:r>
        <w:rPr>
          <w:rFonts w:ascii="Times New Roman;Times;Serif" w:hAnsi="Times New Roman;Times;Serif"/>
          <w:b w:val="false"/>
          <w:i w:val="false"/>
          <w:caps w:val="false"/>
          <w:smallCaps w:val="false"/>
          <w:sz w:val="20"/>
        </w:rPr>
        <w:t>”) to High West Partners LLC (“</w:t>
      </w:r>
      <w:r>
        <w:rPr>
          <w:rFonts w:ascii="Times New Roman;Times;Serif" w:hAnsi="Times New Roman;Times;Serif"/>
          <w:b/>
          <w:i w:val="false"/>
          <w:caps w:val="false"/>
          <w:smallCaps w:val="false"/>
          <w:sz w:val="20"/>
        </w:rPr>
        <w:t>HW</w:t>
      </w:r>
      <w:r>
        <w:rPr>
          <w:rFonts w:ascii="Times New Roman;Times;Serif" w:hAnsi="Times New Roman;Times;Serif"/>
          <w:b w:val="false"/>
          <w:i w:val="false"/>
          <w:caps w:val="false"/>
          <w:smallCaps w:val="false"/>
          <w:sz w:val="20"/>
        </w:rPr>
        <w:t>”), from time to time pursuant to a securities purchase agreement dated 10 July 2026 (the “</w:t>
      </w:r>
      <w:r>
        <w:rPr>
          <w:rFonts w:ascii="Times New Roman;Times;Serif" w:hAnsi="Times New Roman;Times;Serif"/>
          <w:b/>
          <w:i w:val="false"/>
          <w:caps w:val="false"/>
          <w:smallCaps w:val="false"/>
          <w:sz w:val="20"/>
        </w:rPr>
        <w:t>Securities Purchase Agreement</w:t>
      </w:r>
      <w:r>
        <w:rPr>
          <w:rFonts w:ascii="Times New Roman;Times;Serif" w:hAnsi="Times New Roman;Times;Serif"/>
          <w:b w:val="false"/>
          <w:i w:val="false"/>
          <w:caps w:val="false"/>
          <w:smallCaps w:val="false"/>
          <w:sz w:val="20"/>
        </w:rPr>
        <w:t>”), entered into between the Company and HW, and (ii) an additional US$300,000 of Ordinary Shares being issued to HW as commitment shares under the Securities Purchase Agreement (the "Commitment Shares", together with the Purchase Shares,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furnishing this opinion and consent as Exhibits 5.1 and 23.2 to the Company's current report on Form 6-K which will be incorporated by reference into the Registration Statement and the Prospectus Supplement (the "</w:t>
      </w:r>
      <w:r>
        <w:rPr>
          <w:rFonts w:ascii="Times New Roman;Times;Serif" w:hAnsi="Times New Roman;Times;Serif"/>
          <w:b/>
          <w:i w:val="false"/>
          <w:caps w:val="false"/>
          <w:smallCaps w:val="false"/>
          <w:sz w:val="20"/>
        </w:rPr>
        <w:t>Form 6-K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403" w:type="dxa"/>
        <w:jc w:val="left"/>
        <w:tblInd w:w="0" w:type="dxa"/>
        <w:tblLayout w:type="fixed"/>
        <w:tblCellMar>
          <w:top w:w="0" w:type="dxa"/>
          <w:left w:w="0" w:type="dxa"/>
          <w:bottom w:w="0" w:type="dxa"/>
          <w:right w:w="0" w:type="dxa"/>
        </w:tblCellMar>
      </w:tblPr>
      <w:tblGrid>
        <w:gridCol w:w="38"/>
        <w:gridCol w:w="140"/>
        <w:gridCol w:w="222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1</w:t>
            </w:r>
          </w:p>
        </w:tc>
        <w:tc>
          <w:tcPr>
            <w:tcW w:w="2225" w:type="dxa"/>
            <w:tcBorders/>
            <w:vAlign w:val="center"/>
          </w:tcPr>
          <w:p>
            <w:pPr>
              <w:pStyle w:val="TableContents"/>
              <w:bidi w:val="0"/>
              <w:spacing w:before="0" w:after="283"/>
              <w:jc w:val="both"/>
              <w:rPr>
                <w:b/>
              </w:rPr>
            </w:pPr>
            <w:r>
              <w:rPr>
                <w:b/>
              </w:rPr>
              <w:t>Documents Reviewed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opinion, we have reviewed only originals, copies or final drafts of the following documents: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447"/>
        <w:gridCol w:w="9705"/>
      </w:tblGrid>
      <w:tr>
        <w:trPr/>
        <w:tc>
          <w:tcPr>
            <w:tcW w:w="5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pPr>
            <w:r>
              <w:rPr/>
              <w:t>1.1</w:t>
            </w:r>
          </w:p>
        </w:tc>
        <w:tc>
          <w:tcPr>
            <w:tcW w:w="9705" w:type="dxa"/>
            <w:tcBorders/>
            <w:vAlign w:val="center"/>
          </w:tcPr>
          <w:p>
            <w:pPr>
              <w:pStyle w:val="TableContents"/>
              <w:bidi w:val="0"/>
              <w:spacing w:before="0" w:after="283"/>
              <w:jc w:val="both"/>
              <w:rPr/>
            </w:pPr>
            <w:r>
              <w:rPr/>
              <w:t>The certificate of incorporation of the Company dated 4 December 2018.</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1.2</w:t>
            </w:r>
          </w:p>
        </w:tc>
        <w:tc>
          <w:tcPr>
            <w:tcW w:w="9847" w:type="dxa"/>
            <w:tcBorders/>
            <w:vAlign w:val="center"/>
          </w:tcPr>
          <w:p>
            <w:pPr>
              <w:pStyle w:val="TableContents"/>
              <w:bidi w:val="0"/>
              <w:spacing w:before="0" w:after="283"/>
              <w:jc w:val="both"/>
              <w:rPr/>
            </w:pPr>
            <w:r>
              <w:rPr/>
              <w:t>The amended and restated memorandum and articles of association of the Company as conditionally adopted by a special resolution passed on 20 July 2020 and effective on 10 February 2021 (the "</w:t>
            </w:r>
            <w:r>
              <w:rPr>
                <w:b/>
              </w:rPr>
              <w:t>Memorandum and Articles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1.3</w:t>
            </w:r>
          </w:p>
        </w:tc>
        <w:tc>
          <w:tcPr>
            <w:tcW w:w="9847" w:type="dxa"/>
            <w:tcBorders/>
            <w:vAlign w:val="center"/>
          </w:tcPr>
          <w:p>
            <w:pPr>
              <w:pStyle w:val="TableContents"/>
              <w:bidi w:val="0"/>
              <w:spacing w:before="0" w:after="283"/>
              <w:jc w:val="both"/>
              <w:rPr/>
            </w:pPr>
            <w:r>
              <w:rPr/>
              <w:t>The written resolutions of the board of directors of the Company dated 19 July 2023 and 13 July 2026 (the "</w:t>
            </w:r>
            <w:r>
              <w:rPr>
                <w:b/>
              </w:rPr>
              <w:t>Resolutions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1.4</w:t>
            </w:r>
          </w:p>
        </w:tc>
        <w:tc>
          <w:tcPr>
            <w:tcW w:w="9847" w:type="dxa"/>
            <w:tcBorders/>
            <w:vAlign w:val="center"/>
          </w:tcPr>
          <w:p>
            <w:pPr>
              <w:pStyle w:val="TableContents"/>
              <w:bidi w:val="0"/>
              <w:spacing w:before="0" w:after="283"/>
              <w:jc w:val="both"/>
              <w:rPr/>
            </w:pPr>
            <w:r>
              <w:rPr/>
              <w:t>A certificate from a director of the Company, a copy of which is attached hereto (the "</w:t>
            </w:r>
            <w:r>
              <w:rPr>
                <w:b/>
              </w:rPr>
              <w:t>Director's Certificate</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5238750" cy="1552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238750" cy="15525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1.5</w:t>
            </w:r>
          </w:p>
        </w:tc>
        <w:tc>
          <w:tcPr>
            <w:tcW w:w="9847" w:type="dxa"/>
            <w:tcBorders/>
            <w:vAlign w:val="center"/>
          </w:tcPr>
          <w:p>
            <w:pPr>
              <w:pStyle w:val="TableContents"/>
              <w:bidi w:val="0"/>
              <w:spacing w:before="0" w:after="283"/>
              <w:jc w:val="both"/>
              <w:rPr/>
            </w:pPr>
            <w:r>
              <w:rPr/>
              <w:t>A certificate of good standing dated 16 June 2026, issued by the Registrar of Companies in the Cayman Islands (the "</w:t>
            </w:r>
            <w:r>
              <w:rPr>
                <w:b/>
              </w:rPr>
              <w:t>Certificate of Good Standing</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684"/>
        <w:gridCol w:w="9440"/>
      </w:tblGrid>
      <w:tr>
        <w:trPr/>
        <w:tc>
          <w:tcPr>
            <w:tcW w:w="8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pPr>
            <w:r>
              <w:rPr/>
              <w:t>1.6</w:t>
            </w:r>
          </w:p>
        </w:tc>
        <w:tc>
          <w:tcPr>
            <w:tcW w:w="9440" w:type="dxa"/>
            <w:tcBorders/>
            <w:vAlign w:val="center"/>
          </w:tcPr>
          <w:p>
            <w:pPr>
              <w:pStyle w:val="TableContents"/>
              <w:bidi w:val="0"/>
              <w:spacing w:before="0" w:after="283"/>
              <w:jc w:val="both"/>
              <w:rPr/>
            </w:pPr>
            <w:r>
              <w:rPr/>
              <w:t>The Registration Statement and the Form 6-K.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1056"/>
        <w:gridCol w:w="9024"/>
      </w:tblGrid>
      <w:tr>
        <w:trPr/>
        <w:tc>
          <w:tcPr>
            <w:tcW w:w="125"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pPr>
            <w:r>
              <w:rPr/>
              <w:t>1.1</w:t>
            </w:r>
          </w:p>
        </w:tc>
        <w:tc>
          <w:tcPr>
            <w:tcW w:w="9024" w:type="dxa"/>
            <w:tcBorders/>
            <w:vAlign w:val="center"/>
          </w:tcPr>
          <w:p>
            <w:pPr>
              <w:pStyle w:val="TableContents"/>
              <w:bidi w:val="0"/>
              <w:spacing w:before="0" w:after="283"/>
              <w:jc w:val="both"/>
              <w:rPr/>
            </w:pPr>
            <w:r>
              <w:rPr/>
              <w:t>The Prospectus Supplement.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853"/>
        <w:gridCol w:w="9251"/>
      </w:tblGrid>
      <w:tr>
        <w:trPr/>
        <w:tc>
          <w:tcPr>
            <w:tcW w:w="10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pPr>
            <w:r>
              <w:rPr/>
              <w:t>1.2</w:t>
            </w:r>
          </w:p>
        </w:tc>
        <w:tc>
          <w:tcPr>
            <w:tcW w:w="9251" w:type="dxa"/>
            <w:tcBorders/>
            <w:vAlign w:val="center"/>
          </w:tcPr>
          <w:p>
            <w:pPr>
              <w:pStyle w:val="TableContents"/>
              <w:bidi w:val="0"/>
              <w:spacing w:before="0" w:after="283"/>
              <w:jc w:val="both"/>
              <w:rPr/>
            </w:pPr>
            <w:r>
              <w:rPr/>
              <w:t>The Securities Purchase Agreement.</w:t>
            </w:r>
          </w:p>
        </w:tc>
      </w:tr>
    </w:tbl>
    <w:p>
      <w:pPr>
        <w:pStyle w:val="TextBody"/>
        <w:bidi w:val="0"/>
        <w:spacing w:before="0" w:after="0"/>
        <w:ind w:left="0" w:right="0" w:hanging="0"/>
        <w:jc w:val="left"/>
        <w:rPr>
          <w:caps w:val="false"/>
          <w:smallCaps w:val="false"/>
        </w:rPr>
      </w:pPr>
      <w:r>
        <w:rPr>
          <w:caps w:val="false"/>
          <w:smallCaps w:val="false"/>
        </w:rPr>
        <w:t> </w:t>
      </w:r>
    </w:p>
    <w:tbl>
      <w:tblPr>
        <w:tblW w:w="1518" w:type="dxa"/>
        <w:jc w:val="left"/>
        <w:tblInd w:w="0" w:type="dxa"/>
        <w:tblLayout w:type="fixed"/>
        <w:tblCellMar>
          <w:top w:w="0" w:type="dxa"/>
          <w:left w:w="0" w:type="dxa"/>
          <w:bottom w:w="0" w:type="dxa"/>
          <w:right w:w="0" w:type="dxa"/>
        </w:tblCellMar>
      </w:tblPr>
      <w:tblGrid>
        <w:gridCol w:w="38"/>
        <w:gridCol w:w="140"/>
        <w:gridCol w:w="134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2</w:t>
            </w:r>
          </w:p>
        </w:tc>
        <w:tc>
          <w:tcPr>
            <w:tcW w:w="1340" w:type="dxa"/>
            <w:tcBorders/>
            <w:vAlign w:val="center"/>
          </w:tcPr>
          <w:p>
            <w:pPr>
              <w:pStyle w:val="TableContents"/>
              <w:bidi w:val="0"/>
              <w:spacing w:before="0" w:after="283"/>
              <w:jc w:val="both"/>
              <w:rPr>
                <w:b/>
              </w:rPr>
            </w:pPr>
            <w:r>
              <w:rPr>
                <w:b/>
              </w:rPr>
              <w:t>Assumptions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these opinions we have relied (without further verification) upon the completeness and accuracy, as of the date of this opinion letter, of the Director's Certificate and the Certificate of Good Standing. We have also relied upon the following assumptions, which we have not independently verified: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2.1</w:t>
            </w:r>
          </w:p>
        </w:tc>
        <w:tc>
          <w:tcPr>
            <w:tcW w:w="9848" w:type="dxa"/>
            <w:tcBorders/>
            <w:vAlign w:val="center"/>
          </w:tcPr>
          <w:p>
            <w:pPr>
              <w:pStyle w:val="TableContents"/>
              <w:bidi w:val="0"/>
              <w:spacing w:before="0" w:after="283"/>
              <w:jc w:val="both"/>
              <w:rPr/>
            </w:pPr>
            <w:r>
              <w:rPr/>
              <w:t>Copies of documents, conformed copies or drafts of documents provided to us are true and complete copies of, or in the final forms of, the originals.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716"/>
        <w:gridCol w:w="9405"/>
      </w:tblGrid>
      <w:tr>
        <w:trPr/>
        <w:tc>
          <w:tcPr>
            <w:tcW w:w="8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pPr>
            <w:r>
              <w:rPr/>
              <w:t>2.2</w:t>
            </w:r>
          </w:p>
        </w:tc>
        <w:tc>
          <w:tcPr>
            <w:tcW w:w="9405" w:type="dxa"/>
            <w:tcBorders/>
            <w:vAlign w:val="center"/>
          </w:tcPr>
          <w:p>
            <w:pPr>
              <w:pStyle w:val="TableContents"/>
              <w:bidi w:val="0"/>
              <w:spacing w:before="0" w:after="283"/>
              <w:jc w:val="both"/>
              <w:rPr/>
            </w:pPr>
            <w:r>
              <w:rPr/>
              <w:t>All signatures, initials and seals are genuine.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2.3</w:t>
            </w:r>
          </w:p>
        </w:tc>
        <w:tc>
          <w:tcPr>
            <w:tcW w:w="9848" w:type="dxa"/>
            <w:tcBorders/>
            <w:vAlign w:val="center"/>
          </w:tcPr>
          <w:p>
            <w:pPr>
              <w:pStyle w:val="TableContents"/>
              <w:bidi w:val="0"/>
              <w:spacing w:before="0" w:after="283"/>
              <w:jc w:val="both"/>
              <w:rPr/>
            </w:pPr>
            <w:r>
              <w:rPr/>
              <w:t>There is nothing under any law (other than the law of the Cayman Islands), which would or might affect the opinions set out below.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2.4</w:t>
            </w:r>
          </w:p>
        </w:tc>
        <w:tc>
          <w:tcPr>
            <w:tcW w:w="9848" w:type="dxa"/>
            <w:tcBorders/>
            <w:vAlign w:val="center"/>
          </w:tcPr>
          <w:p>
            <w:pPr>
              <w:pStyle w:val="TableContents"/>
              <w:bidi w:val="0"/>
              <w:spacing w:before="0" w:after="283"/>
              <w:jc w:val="both"/>
              <w:rPr/>
            </w:pPr>
            <w:r>
              <w:rPr/>
              <w:t>The Company will have sufficient authorised capital to effect the issue of the Shares at the time of issuance.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2.5</w:t>
            </w:r>
          </w:p>
        </w:tc>
        <w:tc>
          <w:tcPr>
            <w:tcW w:w="9848" w:type="dxa"/>
            <w:tcBorders/>
            <w:vAlign w:val="center"/>
          </w:tcPr>
          <w:p>
            <w:pPr>
              <w:pStyle w:val="TableContents"/>
              <w:bidi w:val="0"/>
              <w:spacing w:before="0" w:after="283"/>
              <w:jc w:val="both"/>
              <w:rPr/>
            </w:pPr>
            <w:r>
              <w:rPr/>
              <w:t>There is nothing contained in the minute book or the corporate records of the Company (which we have not inspected) which would or might affect the opinions hereinafter appearing.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2.6</w:t>
            </w:r>
          </w:p>
        </w:tc>
        <w:tc>
          <w:tcPr>
            <w:tcW w:w="9848" w:type="dxa"/>
            <w:tcBorders/>
            <w:vAlign w:val="center"/>
          </w:tcPr>
          <w:p>
            <w:pPr>
              <w:pStyle w:val="TableContents"/>
              <w:bidi w:val="0"/>
              <w:spacing w:before="0" w:after="283"/>
              <w:jc w:val="both"/>
              <w:rPr/>
            </w:pPr>
            <w:r>
              <w:rPr/>
              <w:t>No invitation has been or will be made by or on behalf of the Company to the public in the Cayman Islands to subscribe for the Shares.</w:t>
            </w:r>
          </w:p>
        </w:tc>
      </w:tr>
    </w:tbl>
    <w:p>
      <w:pPr>
        <w:pStyle w:val="TextBody"/>
        <w:bidi w:val="0"/>
        <w:spacing w:before="0" w:after="0"/>
        <w:ind w:left="0" w:right="0" w:hanging="0"/>
        <w:jc w:val="left"/>
        <w:rPr>
          <w:caps w:val="false"/>
          <w:smallCaps w:val="false"/>
        </w:rPr>
      </w:pPr>
      <w:r>
        <w:rPr>
          <w:caps w:val="false"/>
          <w:smallCaps w:val="false"/>
        </w:rPr>
        <w:t> </w:t>
      </w:r>
    </w:p>
    <w:tbl>
      <w:tblPr>
        <w:tblW w:w="1038" w:type="dxa"/>
        <w:jc w:val="left"/>
        <w:tblInd w:w="0" w:type="dxa"/>
        <w:tblLayout w:type="fixed"/>
        <w:tblCellMar>
          <w:top w:w="0" w:type="dxa"/>
          <w:left w:w="0" w:type="dxa"/>
          <w:bottom w:w="0" w:type="dxa"/>
          <w:right w:w="0" w:type="dxa"/>
        </w:tblCellMar>
      </w:tblPr>
      <w:tblGrid>
        <w:gridCol w:w="38"/>
        <w:gridCol w:w="140"/>
        <w:gridCol w:w="86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3</w:t>
            </w:r>
          </w:p>
        </w:tc>
        <w:tc>
          <w:tcPr>
            <w:tcW w:w="860" w:type="dxa"/>
            <w:tcBorders/>
            <w:vAlign w:val="center"/>
          </w:tcPr>
          <w:p>
            <w:pPr>
              <w:pStyle w:val="TableContents"/>
              <w:bidi w:val="0"/>
              <w:spacing w:before="0" w:after="283"/>
              <w:jc w:val="both"/>
              <w:rPr>
                <w:b/>
              </w:rPr>
            </w:pPr>
            <w:r>
              <w:rPr>
                <w:b/>
              </w:rPr>
              <w:t>Opinion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qualifications set out below and having regard to such legal considerations as we deem relevant, we are of the opinion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3.1</w:t>
            </w:r>
          </w:p>
        </w:tc>
        <w:tc>
          <w:tcPr>
            <w:tcW w:w="9848" w:type="dxa"/>
            <w:tcBorders/>
            <w:vAlign w:val="center"/>
          </w:tcPr>
          <w:p>
            <w:pPr>
              <w:pStyle w:val="TableContents"/>
              <w:bidi w:val="0"/>
              <w:spacing w:before="0" w:after="283"/>
              <w:jc w:val="both"/>
              <w:rPr/>
            </w:pPr>
            <w:r>
              <w:rPr/>
              <w:t>The Company has been duly incorporated as an exempted company with limited liability and is validly existing and in good standing with the Registrar of Companies under the laws of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3.2</w:t>
            </w:r>
          </w:p>
        </w:tc>
        <w:tc>
          <w:tcPr>
            <w:tcW w:w="9848" w:type="dxa"/>
            <w:tcBorders/>
            <w:vAlign w:val="center"/>
          </w:tcPr>
          <w:p>
            <w:pPr>
              <w:pStyle w:val="TableContents"/>
              <w:bidi w:val="0"/>
              <w:spacing w:before="0" w:after="283"/>
              <w:jc w:val="both"/>
              <w:rPr/>
            </w:pPr>
            <w:r>
              <w:rPr/>
              <w:t>The authorised share capital of the Company is US$9,600,000 divided into 1,000,000,000 ordinary shares of a par value US$0.0096 each.</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3.3</w:t>
            </w:r>
          </w:p>
        </w:tc>
        <w:tc>
          <w:tcPr>
            <w:tcW w:w="9848" w:type="dxa"/>
            <w:tcBorders/>
            <w:vAlign w:val="center"/>
          </w:tcPr>
          <w:p>
            <w:pPr>
              <w:pStyle w:val="TableContents"/>
              <w:bidi w:val="0"/>
              <w:spacing w:before="0" w:after="283"/>
              <w:jc w:val="both"/>
              <w:rPr/>
            </w:pPr>
            <w:r>
              <w:rPr/>
              <w:t>The issue and allotment of the Shares have been duly authorised and when allotted, issued and paid for as contemplated in the Registration Statement, the Prospectus Supplement and the Securities Purchase Agreement, the Shares will be legally issued and allotted, fully paid and non-assessable. As a matter of Cayman Islands law, a share is only issued when it has been entered in the register of members (shareholders).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3.4</w:t>
            </w:r>
          </w:p>
        </w:tc>
        <w:tc>
          <w:tcPr>
            <w:tcW w:w="9848" w:type="dxa"/>
            <w:tcBorders/>
            <w:vAlign w:val="center"/>
          </w:tcPr>
          <w:p>
            <w:pPr>
              <w:pStyle w:val="TableContents"/>
              <w:bidi w:val="0"/>
              <w:spacing w:before="0" w:after="283"/>
              <w:jc w:val="both"/>
              <w:rPr/>
            </w:pPr>
            <w:r>
              <w:rPr/>
              <w:t>The statements under the caption "Taxation" in or incorporated by reference into the prospectus and the Prospectus Supplement forming part of the Registration Statement, to the extent that they constitute statements of Cayman Islands law, are accurate in all material respects and that such statements constitute our opinion.</w:t>
            </w:r>
          </w:p>
        </w:tc>
      </w:tr>
    </w:tbl>
    <w:p>
      <w:pPr>
        <w:pStyle w:val="TextBody"/>
        <w:bidi w:val="0"/>
        <w:spacing w:before="0" w:after="0"/>
        <w:ind w:left="0" w:right="0" w:hanging="0"/>
        <w:jc w:val="left"/>
        <w:rPr>
          <w:caps w:val="false"/>
          <w:smallCaps w:val="false"/>
        </w:rPr>
      </w:pPr>
      <w:r>
        <w:rPr>
          <w:caps w:val="false"/>
          <w:smallCaps w:val="false"/>
        </w:rPr>
        <w:t> </w:t>
      </w:r>
    </w:p>
    <w:tbl>
      <w:tblPr>
        <w:tblW w:w="1608" w:type="dxa"/>
        <w:jc w:val="left"/>
        <w:tblInd w:w="0" w:type="dxa"/>
        <w:tblLayout w:type="fixed"/>
        <w:tblCellMar>
          <w:top w:w="0" w:type="dxa"/>
          <w:left w:w="0" w:type="dxa"/>
          <w:bottom w:w="0" w:type="dxa"/>
          <w:right w:w="0" w:type="dxa"/>
        </w:tblCellMar>
      </w:tblPr>
      <w:tblGrid>
        <w:gridCol w:w="38"/>
        <w:gridCol w:w="140"/>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4</w:t>
            </w:r>
          </w:p>
        </w:tc>
        <w:tc>
          <w:tcPr>
            <w:tcW w:w="1430" w:type="dxa"/>
            <w:tcBorders/>
            <w:vAlign w:val="center"/>
          </w:tcPr>
          <w:p>
            <w:pPr>
              <w:pStyle w:val="TableContents"/>
              <w:bidi w:val="0"/>
              <w:spacing w:before="0" w:after="283"/>
              <w:jc w:val="both"/>
              <w:rPr>
                <w:b/>
              </w:rPr>
            </w:pPr>
            <w:r>
              <w:rPr>
                <w:b/>
              </w:rPr>
              <w:t>Qualifications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above are subject to the following qualifications: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4.1</w:t>
            </w:r>
          </w:p>
        </w:tc>
        <w:tc>
          <w:tcPr>
            <w:tcW w:w="9848" w:type="dxa"/>
            <w:tcBorders/>
            <w:vAlign w:val="center"/>
          </w:tcPr>
          <w:p>
            <w:pPr>
              <w:pStyle w:val="TableContents"/>
              <w:bidi w:val="0"/>
              <w:spacing w:before="0" w:after="283"/>
              <w:jc w:val="both"/>
              <w:rPr/>
            </w:pPr>
            <w:r>
              <w:rPr/>
              <w:t>To maintain the Company in good standing with the Registrar of Companies under the laws of the Cayman Islands, annual filing fees must be paid and returns made to the Registrar of Companies within the time frame prescribed by law.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4.2</w:t>
            </w:r>
          </w:p>
        </w:tc>
        <w:tc>
          <w:tcPr>
            <w:tcW w:w="9848" w:type="dxa"/>
            <w:tcBorders/>
            <w:vAlign w:val="center"/>
          </w:tcPr>
          <w:p>
            <w:pPr>
              <w:pStyle w:val="TableContents"/>
              <w:bidi w:val="0"/>
              <w:spacing w:before="0" w:after="283"/>
              <w:jc w:val="both"/>
              <w:rPr/>
            </w:pPr>
            <w:r>
              <w:rPr/>
              <w:t>Under the Companies Act (As Revised) of the Cayman Islands, the register of members of a Cayman Islands company is by statute regarded as prima facie evidence of any matters which the Companies Act (As Revised) directs or authorises to be inserted in it. A third party interest in the shares in question would not appear. An entry in the register of members may yield to a court order for rectification (for example, in the event of fraud or manifest error).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4.3</w:t>
            </w:r>
          </w:p>
        </w:tc>
        <w:tc>
          <w:tcPr>
            <w:tcW w:w="9848" w:type="dxa"/>
            <w:tcBorders/>
            <w:vAlign w:val="center"/>
          </w:tcPr>
          <w:p>
            <w:pPr>
              <w:pStyle w:val="TableContents"/>
              <w:bidi w:val="0"/>
              <w:spacing w:before="0" w:after="283"/>
              <w:jc w:val="both"/>
              <w:rPr/>
            </w:pPr>
            <w:r>
              <w:rPr/>
              <w:t>In this opinion the phrase "non-assessable" means, with respect to the Shares in the Company, that a shareholder shall not, solely by virtue of its status as a shareholder, and in absence of a contractual arrangement, or an obligation pursuant to the memorandum and articles of association, to the contrary, be liable for additional assessments or calls on the Shares by the Company or its creditors (except in exceptional circumstances, such as involving fraud, the establishment of an agency relationship or an illegal or improper purpose or other circumstances in which a court may be prepared to pierce or lift the corporate veil).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specifically stated herein, we make no comment with respect to any representations and warranties which may be made by or with respect to the Company in any of the documents or instruments cited in this opinion or otherwise with respect to the commercial terms of the transactions, which are the subject of this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Form 6-K, and to the reference to our name under the headings "Enforcement of Civil Liabilities" and "Legal Matters" and elsewhere in the prospectus included in the Registration Statement and the Prospectus Supplement. In giving such consent, we do not thereby admit that we come within the category of persons whose consent is required under Section 7 of the U.S. Securities Act of 1933, as amended,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Maples and Calder (Hong Kong)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Maples and Calder (Hong Kong)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0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July 2026</w:t>
      </w:r>
    </w:p>
    <w:p>
      <w:pPr>
        <w:pStyle w:val="TextBody"/>
        <w:bidi w:val="0"/>
        <w:spacing w:before="0" w:after="0"/>
        <w:ind w:left="0" w:right="0" w:hanging="0"/>
        <w:jc w:val="left"/>
        <w:rPr>
          <w:caps w:val="false"/>
          <w:smallCaps w:val="false"/>
        </w:rPr>
      </w:pPr>
      <w:r>
        <w:rPr>
          <w:caps w:val="false"/>
          <w:smallCaps w:val="false"/>
        </w:rPr>
        <w:t> </w:t>
      </w:r>
    </w:p>
    <w:tbl>
      <w:tblPr>
        <w:tblW w:w="4053" w:type="dxa"/>
        <w:jc w:val="left"/>
        <w:tblInd w:w="0" w:type="dxa"/>
        <w:tblLayout w:type="fixed"/>
        <w:tblCellMar>
          <w:top w:w="0" w:type="dxa"/>
          <w:left w:w="0" w:type="dxa"/>
          <w:bottom w:w="0" w:type="dxa"/>
          <w:right w:w="0" w:type="dxa"/>
        </w:tblCellMar>
      </w:tblPr>
      <w:tblGrid>
        <w:gridCol w:w="38"/>
        <w:gridCol w:w="350"/>
        <w:gridCol w:w="366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To:</w:t>
            </w:r>
          </w:p>
        </w:tc>
        <w:tc>
          <w:tcPr>
            <w:tcW w:w="3665" w:type="dxa"/>
            <w:tcBorders/>
            <w:vAlign w:val="center"/>
          </w:tcPr>
          <w:p>
            <w:pPr>
              <w:pStyle w:val="TableContents"/>
              <w:bidi w:val="0"/>
              <w:spacing w:before="0" w:after="283"/>
              <w:jc w:val="both"/>
              <w:rPr/>
            </w:pPr>
            <w:r>
              <w:rPr/>
              <w:t>Maples and Calder (Hong Kong) LLP</w:t>
            </w:r>
          </w:p>
        </w:tc>
      </w:tr>
    </w:tbl>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26th Floor, Central Plaza</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Harbour Road</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Wanchai, Hong Kong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ascii="Times New Roman;Times;Serif" w:hAnsi="Times New Roman;Times;Serif"/>
          <w:b/>
          <w:i w:val="false"/>
          <w:caps w:val="false"/>
          <w:smallCaps w:val="false"/>
          <w:sz w:val="20"/>
        </w:rPr>
        <w:t xml:space="preserve">Baosheng Media Group Holdings Limited </w:t>
      </w:r>
      <w:r>
        <w:rPr>
          <w:rFonts w:eastAsia="Times New Roman;Times;Serif"/>
          <w:b/>
          <w:i w:val="false"/>
          <w:caps w:val="false"/>
          <w:smallCaps w:val="false"/>
          <w:sz w:val="20"/>
        </w:rPr>
        <w:t xml:space="preserve">宝盛传媒集团控股有限公司 </w:t>
      </w:r>
      <w:r>
        <w:rPr>
          <w:rFonts w:ascii="Times New Roman;Times;Serif" w:hAnsi="Times New Roman;Times;Serif"/>
          <w:b/>
          <w:i w:val="false"/>
          <w:caps w:val="false"/>
          <w:smallCaps w:val="false"/>
          <w:sz w:val="20"/>
        </w:rPr>
        <w:t>(the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undersigned, being a director of the Company, am aware that you are being asked to provide a legal opinion (the "</w:t>
      </w:r>
      <w:r>
        <w:rPr>
          <w:rFonts w:ascii="Times New Roman;Times;Serif" w:hAnsi="Times New Roman;Times;Serif"/>
          <w:b/>
          <w:i w:val="false"/>
          <w:caps w:val="false"/>
          <w:smallCaps w:val="false"/>
          <w:sz w:val="20"/>
        </w:rPr>
        <w:t>Opinion</w:t>
      </w:r>
      <w:r>
        <w:rPr>
          <w:rFonts w:ascii="Times New Roman;Times;Serif" w:hAnsi="Times New Roman;Times;Serif"/>
          <w:b w:val="false"/>
          <w:i w:val="false"/>
          <w:caps w:val="false"/>
          <w:smallCaps w:val="false"/>
          <w:sz w:val="20"/>
        </w:rPr>
        <w:t>") in relation to certain aspects of Cayman Islands law. Capitalised terms used in this certificate have the meaning given to them in the Opinion. I hereby certify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70"/>
        <w:gridCol w:w="9990"/>
      </w:tblGrid>
      <w:tr>
        <w:trPr/>
        <w:tc>
          <w:tcPr>
            <w:tcW w:w="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1</w:t>
            </w:r>
          </w:p>
        </w:tc>
        <w:tc>
          <w:tcPr>
            <w:tcW w:w="9990" w:type="dxa"/>
            <w:tcBorders/>
            <w:vAlign w:val="center"/>
          </w:tcPr>
          <w:p>
            <w:pPr>
              <w:pStyle w:val="TableContents"/>
              <w:bidi w:val="0"/>
              <w:spacing w:before="0" w:after="283"/>
              <w:jc w:val="both"/>
              <w:rPr/>
            </w:pPr>
            <w:r>
              <w:rPr/>
              <w:t>The Memorandum and Articles remain in full and effect and are otherwise unamended.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t>The Resolutions were duly passed in the manner prescribed in Memorandum and Articles (including, without limitation, with respect to the disclosure of interests (if any) by directors of the Company) and have not been amended, varied or revoked in any respect.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pPr>
            <w:r>
              <w:rPr/>
              <w:t>The authorised share capital of the Company is US$9,600,000 divided into 1,000,000,000 ordinary shares of a par value US$0.0096 each.</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4</w:t>
            </w:r>
          </w:p>
        </w:tc>
        <w:tc>
          <w:tcPr>
            <w:tcW w:w="10028" w:type="dxa"/>
            <w:tcBorders/>
            <w:vAlign w:val="center"/>
          </w:tcPr>
          <w:p>
            <w:pPr>
              <w:pStyle w:val="TableContents"/>
              <w:bidi w:val="0"/>
              <w:spacing w:before="0" w:after="283"/>
              <w:jc w:val="both"/>
              <w:rPr/>
            </w:pPr>
            <w:r>
              <w:rPr/>
              <w:t>All of the issued shares in the capital of the Company have been duly and validly authorised and issued and are fully paid and non-assessable (meaning that no further sums are payable to the Company on such shares and the Company has received payment therefor).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5</w:t>
            </w:r>
          </w:p>
        </w:tc>
        <w:tc>
          <w:tcPr>
            <w:tcW w:w="10028" w:type="dxa"/>
            <w:tcBorders/>
            <w:vAlign w:val="center"/>
          </w:tcPr>
          <w:p>
            <w:pPr>
              <w:pStyle w:val="TableContents"/>
              <w:bidi w:val="0"/>
              <w:spacing w:before="0" w:after="283"/>
              <w:jc w:val="both"/>
              <w:rPr/>
            </w:pPr>
            <w:r>
              <w:rPr/>
              <w:t>The shareholders of the Company have not restricted or limited the powers of the directors in any way and there is no contractual or other prohibition (other than as arising under Cayman Islands law) binding on the Company prohibiting it from issuing and allotting the Shares or otherwise performing its obligations under the Registration Statement and the Prospectus Supplement.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6</w:t>
            </w:r>
          </w:p>
        </w:tc>
        <w:tc>
          <w:tcPr>
            <w:tcW w:w="10028" w:type="dxa"/>
            <w:tcBorders/>
            <w:vAlign w:val="center"/>
          </w:tcPr>
          <w:p>
            <w:pPr>
              <w:pStyle w:val="TableContents"/>
              <w:bidi w:val="0"/>
              <w:spacing w:before="0" w:after="283"/>
              <w:jc w:val="both"/>
              <w:rPr/>
            </w:pPr>
            <w:r>
              <w:rPr/>
              <w:t>The Securities Purchase Agreement has been executed and unconditionally delivered by any director of the Company for and on behalf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01"/>
        <w:gridCol w:w="9950"/>
      </w:tblGrid>
      <w:tr>
        <w:trPr/>
        <w:tc>
          <w:tcPr>
            <w:tcW w:w="5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pPr>
            <w:r>
              <w:rPr/>
              <w:t>7</w:t>
            </w:r>
          </w:p>
        </w:tc>
        <w:tc>
          <w:tcPr>
            <w:tcW w:w="9950" w:type="dxa"/>
            <w:tcBorders/>
            <w:vAlign w:val="center"/>
          </w:tcPr>
          <w:p>
            <w:pPr>
              <w:pStyle w:val="TableContents"/>
              <w:bidi w:val="0"/>
              <w:spacing w:before="0" w:after="283"/>
              <w:jc w:val="both"/>
              <w:rPr/>
            </w:pPr>
            <w:r>
              <w:rPr/>
              <w:t>The directors of the Company at the date of this certificate are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JIANG Lina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ZHANG Jian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FANG Chenxi</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CAI Lei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8</w:t>
            </w:r>
          </w:p>
        </w:tc>
        <w:tc>
          <w:tcPr>
            <w:tcW w:w="10028" w:type="dxa"/>
            <w:tcBorders/>
            <w:vAlign w:val="center"/>
          </w:tcPr>
          <w:p>
            <w:pPr>
              <w:pStyle w:val="TableContents"/>
              <w:bidi w:val="0"/>
              <w:spacing w:before="0" w:after="283"/>
              <w:jc w:val="both"/>
              <w:rPr/>
            </w:pPr>
            <w:r>
              <w:rPr/>
              <w:t>You have been provided with complete and accurate copies of all minutes of meetings or written resolutions or consents of the shareholders and directors (or any committee thereof) of the Company (which were duly convened, passed and/or (as the case may be) signed and delivered in accordance with the Memorandum and Articles) and the certificate of incorporation, Memorandum and Articles (as adopted on incorporation and as subsequently amended) and statutory registers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9</w:t>
            </w:r>
          </w:p>
        </w:tc>
        <w:tc>
          <w:tcPr>
            <w:tcW w:w="10028" w:type="dxa"/>
            <w:tcBorders/>
            <w:vAlign w:val="center"/>
          </w:tcPr>
          <w:p>
            <w:pPr>
              <w:pStyle w:val="TableContents"/>
              <w:bidi w:val="0"/>
              <w:spacing w:before="0" w:after="283"/>
              <w:jc w:val="both"/>
              <w:rPr/>
            </w:pPr>
            <w:r>
              <w:rPr/>
              <w:t>The Company has not entered into any mortgages and charges over its property or assets other than those entered in the register of mortgages and charges, or contemplated by the Securities Purchase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10</w:t>
            </w:r>
          </w:p>
        </w:tc>
        <w:tc>
          <w:tcPr>
            <w:tcW w:w="9908" w:type="dxa"/>
            <w:tcBorders/>
            <w:vAlign w:val="center"/>
          </w:tcPr>
          <w:p>
            <w:pPr>
              <w:pStyle w:val="TableContents"/>
              <w:bidi w:val="0"/>
              <w:spacing w:before="0" w:after="283"/>
              <w:jc w:val="both"/>
              <w:rPr/>
            </w:pPr>
            <w:r>
              <w:rPr/>
              <w:t>Prior to, at the time of, and immediately following the execution of the Securities Purchase Agreement the Company was, or will be, able to pay its debts as they fell, or fall, due and has entered, or will enter, into the Securities Purchase Agreement for proper value and not with an intention to defraud or wilfully defeat an obligation owed to any creditor or with a view to giving a creditor a preference.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11</w:t>
            </w:r>
          </w:p>
        </w:tc>
        <w:tc>
          <w:tcPr>
            <w:tcW w:w="9908" w:type="dxa"/>
            <w:tcBorders/>
            <w:vAlign w:val="center"/>
          </w:tcPr>
          <w:p>
            <w:pPr>
              <w:pStyle w:val="TableContents"/>
              <w:bidi w:val="0"/>
              <w:spacing w:before="0" w:after="283"/>
              <w:jc w:val="both"/>
              <w:rPr/>
            </w:pPr>
            <w:r>
              <w:rPr/>
              <w:t>Each director considers the transactions contemplated by the Registration Statement, the Prospectus Supplement and the Securities Purchase Agreement to be of commercial benefit to the Company and has acted bona fide in the best interests of the Company, and for a proper purpose of the Company in relation to the transactions which are the subject of the Opinion.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12</w:t>
            </w:r>
          </w:p>
        </w:tc>
        <w:tc>
          <w:tcPr>
            <w:tcW w:w="9908" w:type="dxa"/>
            <w:tcBorders/>
            <w:vAlign w:val="center"/>
          </w:tcPr>
          <w:p>
            <w:pPr>
              <w:pStyle w:val="TableContents"/>
              <w:bidi w:val="0"/>
              <w:spacing w:before="0" w:after="283"/>
              <w:jc w:val="both"/>
              <w:rPr/>
            </w:pPr>
            <w:r>
              <w:rPr/>
              <w:t>No interest in the Company constituting shares, voting rights or ultimate effective control over management in the Company is currently subject to a restrictions notice issued under the Beneficial Ownership Transparency Act (As Revised) (the "</w:t>
            </w:r>
            <w:r>
              <w:rPr>
                <w:b/>
              </w:rPr>
              <w:t>BOT Act</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13</w:t>
            </w:r>
          </w:p>
        </w:tc>
        <w:tc>
          <w:tcPr>
            <w:tcW w:w="9908" w:type="dxa"/>
            <w:tcBorders/>
            <w:vAlign w:val="center"/>
          </w:tcPr>
          <w:p>
            <w:pPr>
              <w:pStyle w:val="TableContents"/>
              <w:bidi w:val="0"/>
              <w:spacing w:before="0" w:after="283"/>
              <w:jc w:val="both"/>
              <w:rPr/>
            </w:pPr>
            <w:r>
              <w:rPr/>
              <w:t>To the best of my knowledge and belief, having made due enquiry, none of the shares, interests, rights or obligations, if any, which are directly or indirectly the subject of the transactions contemplated by the Securities Purchase Agreement is currently subject to any restrictions notice issued under the BOT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14</w:t>
            </w:r>
          </w:p>
        </w:tc>
        <w:tc>
          <w:tcPr>
            <w:tcW w:w="9908" w:type="dxa"/>
            <w:tcBorders/>
            <w:vAlign w:val="center"/>
          </w:tcPr>
          <w:p>
            <w:pPr>
              <w:pStyle w:val="TableContents"/>
              <w:bidi w:val="0"/>
              <w:spacing w:before="0" w:after="283"/>
              <w:jc w:val="both"/>
              <w:rPr/>
            </w:pPr>
            <w:r>
              <w:rPr/>
              <w:t>To the best of my knowledge and belief, having made due inquiry, the Company is not the subject of legal, arbitral, administrative or other proceedings in any jurisdiction which would result in the insolvency of the Company or affect the ability of the Company to perform its obligations under the Registration Statement, the Prospectus Supplement and the Securities Purchase Agreement and neither the directors nor Shareholders have taken any steps to have the Company struck off or placed in liquidation. Further, no steps have been taken to wind up the Company or to appoint restructuring officers or interim restructuring officers, and no step has been taken to appoint a receiver in relation to any of the Company's property or assets.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15</w:t>
            </w:r>
          </w:p>
        </w:tc>
        <w:tc>
          <w:tcPr>
            <w:tcW w:w="9908" w:type="dxa"/>
            <w:tcBorders/>
            <w:vAlign w:val="center"/>
          </w:tcPr>
          <w:p>
            <w:pPr>
              <w:pStyle w:val="TableContents"/>
              <w:bidi w:val="0"/>
              <w:spacing w:before="0" w:after="283"/>
              <w:jc w:val="both"/>
              <w:rPr/>
            </w:pPr>
            <w:r>
              <w:rPr/>
              <w:t>The Company is not a central bank, monetary authority or other sovereign entity of any state and is not a subsidiary, direct or indirect, of any sovereign entity or state.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confirm that you may continue to rely on this Certificate as being true and correct on the day that you issue the Opinion unless I shall have previously notified you personally to the contrary.</w:t>
      </w:r>
    </w:p>
    <w:p>
      <w:pPr>
        <w:pStyle w:val="TextBody"/>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875"/>
        <w:gridCol w:w="1220"/>
        <w:gridCol w:w="75"/>
      </w:tblGrid>
      <w:tr>
        <w:trPr/>
        <w:tc>
          <w:tcPr>
            <w:tcW w:w="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122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JIANG Lina</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JIANG Lina</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 w:name="tm2620497d1_ex5-2.htm"/>
      <w:bookmarkStart w:id="5" w:name="kstm2620497d1_ex52"/>
      <w:bookmarkEnd w:id="4"/>
      <w:bookmarkEnd w:id="5"/>
      <w:r>
        <w:rPr/>
        <w:t> </w:t>
      </w:r>
      <w:r>
        <w:br w:type="page"/>
      </w:r>
    </w:p>
    <w:p>
      <w:pPr>
        <w:pStyle w:val="TextBody"/>
        <w:bidi w:val="0"/>
        <w:jc w:val="right"/>
        <w:rPr>
          <w:b/>
          <w:sz w:val="20"/>
        </w:rPr>
      </w:pPr>
      <w:r>
        <w:rPr>
          <w:b/>
          <w:sz w:val="20"/>
        </w:rPr>
        <w:t>Exhibit 5.2</w:t>
      </w:r>
    </w:p>
    <w:p>
      <w:pPr>
        <w:pStyle w:val="TextBody"/>
        <w:bidi w:val="0"/>
        <w:spacing w:before="0" w:after="283"/>
        <w:jc w:val="left"/>
        <w:rPr/>
      </w:pPr>
      <w:r>
        <w:rPr/>
        <w:t> </w:t>
      </w:r>
    </w:p>
    <w:tbl>
      <w:tblPr>
        <w:tblW w:w="7190" w:type="dxa"/>
        <w:jc w:val="left"/>
        <w:tblInd w:w="0" w:type="dxa"/>
        <w:tblLayout w:type="fixed"/>
        <w:tblCellMar>
          <w:top w:w="0" w:type="dxa"/>
          <w:left w:w="0" w:type="dxa"/>
          <w:bottom w:w="28" w:type="dxa"/>
          <w:right w:w="0" w:type="dxa"/>
        </w:tblCellMar>
      </w:tblPr>
      <w:tblGrid>
        <w:gridCol w:w="5300"/>
        <w:gridCol w:w="1890"/>
      </w:tblGrid>
      <w:tr>
        <w:trPr/>
        <w:tc>
          <w:tcPr>
            <w:tcW w:w="5300" w:type="dxa"/>
            <w:tcBorders>
              <w:bottom w:val="single" w:sz="8" w:space="0" w:color="000000"/>
            </w:tcBorders>
            <w:vAlign w:val="center"/>
          </w:tcPr>
          <w:p>
            <w:pPr>
              <w:pStyle w:val="TableContents"/>
              <w:bidi w:val="0"/>
              <w:spacing w:before="0" w:after="283"/>
              <w:jc w:val="left"/>
              <w:rPr>
                <w:sz w:val="20"/>
              </w:rPr>
            </w:pPr>
            <w:r>
              <w:rPr>
                <w:b/>
                <w:sz w:val="20"/>
              </w:rPr>
              <w:t>CFN Lawyers LLC</w:t>
            </w:r>
            <w:r>
              <w:rPr>
                <w:sz w:val="20"/>
              </w:rPr>
              <w:br/>
              <w:t>New York: 418 Broadway #4607, Albany, NY 12207, USA</w:t>
              <w:br/>
              <w:t>Missouri: 301 Sovereign Ct, Ste 119D, Ballwin, MO 63011, USA</w:t>
              <w:br/>
              <w:t>Main +1 (646) 386 8128</w:t>
              <w:br/>
              <w:t xml:space="preserve">Email </w:t>
            </w:r>
            <w:r>
              <w:rPr>
                <w:sz w:val="20"/>
                <w:u w:val="single"/>
              </w:rPr>
              <w:t>cfn@cfnllc.us</w:t>
            </w:r>
          </w:p>
        </w:tc>
        <w:tc>
          <w:tcPr>
            <w:tcW w:w="1890" w:type="dxa"/>
            <w:tcBorders/>
            <w:tcMar>
              <w:bottom w:w="0" w:type="dxa"/>
            </w:tcMar>
            <w:vAlign w:val="center"/>
          </w:tcPr>
          <w:p>
            <w:pPr>
              <w:pStyle w:val="TableContents"/>
              <w:bidi w:val="0"/>
              <w:spacing w:before="0" w:after="283"/>
              <w:jc w:val="left"/>
              <w:rPr/>
            </w:pPr>
            <w:r>
              <w:rPr/>
              <w:drawing>
                <wp:inline distT="0" distB="0" distL="0" distR="0">
                  <wp:extent cx="1190625" cy="1152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90625" cy="1152525"/>
                          </a:xfrm>
                          <a:prstGeom prst="rect">
                            <a:avLst/>
                          </a:prstGeom>
                        </pic:spPr>
                      </pic:pic>
                    </a:graphicData>
                  </a:graphic>
                </wp:inline>
              </w:drawing>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Baosheng Media Group Holdings Limited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East Floor 5, Building No. 8, Xishanhui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Shijingshan District, Beijing 100041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Baosheng Media Group Holdings Limited — Registration Statement on Form F-3 (File No. 333-273720)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acting as United States counsel to Baosheng Media Group Holdings Limited, a company established under the laws of the Cayman Islands (the “Company”), in connection with the Company’s shelf registration statement on Form F-3 (File Number 333-273720), including the base prospectus contained therein (the “Registration Statement”), which was initially filed with the United States Securities and Exchange Commission (the “Commission”) on August 4, 2023 and was declared effective by the Commission on September 26, 2023, and as supplemented by the prospectus supplement (the “Prospectus Supplement”), dated July 13, 2026, filed with the Commission pursuant to Rule 424(b)(5) of the Securities Act of 1933, as amended (the “Securities Act”), relating to the offering and sale of (i) up to US$30,000,000 of ordinary shares, par value US$0.0096 each, of the Company (the “Ordinary Shares”) that the Company may sell to High West Partners LLC (the “Investor”) from time to time pursuant to a Securities Purchase Agreement, dated July 10, 2026 (the “Purchase Agreement”), by and between the Company and the Investor, and (ii) an additional US$300,000 of Ordinary Shares issuable to the Investor as commitment shares under the Purchase Agreement (together,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the following documents:</w:t>
      </w:r>
    </w:p>
    <w:p>
      <w:pPr>
        <w:pStyle w:val="TextBody"/>
        <w:bidi w:val="0"/>
        <w:spacing w:before="0" w:after="0"/>
        <w:ind w:left="0" w:right="0" w:hanging="0"/>
        <w:jc w:val="left"/>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17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1.</w:t>
            </w:r>
          </w:p>
        </w:tc>
        <w:tc>
          <w:tcPr>
            <w:tcW w:w="3035" w:type="dxa"/>
            <w:tcBorders/>
            <w:vAlign w:val="center"/>
          </w:tcPr>
          <w:p>
            <w:pPr>
              <w:pStyle w:val="TableContents"/>
              <w:bidi w:val="0"/>
              <w:spacing w:before="0" w:after="283"/>
              <w:jc w:val="both"/>
              <w:rPr>
                <w:sz w:val="20"/>
              </w:rPr>
            </w:pPr>
            <w:r>
              <w:rPr>
                <w:sz w:val="20"/>
              </w:rPr>
              <w:t>a copy of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3273" w:type="dxa"/>
        <w:jc w:val="left"/>
        <w:tblInd w:w="0" w:type="dxa"/>
        <w:tblLayout w:type="fixed"/>
        <w:tblCellMar>
          <w:top w:w="0" w:type="dxa"/>
          <w:left w:w="0" w:type="dxa"/>
          <w:bottom w:w="0" w:type="dxa"/>
          <w:right w:w="0" w:type="dxa"/>
        </w:tblCellMar>
      </w:tblPr>
      <w:tblGrid>
        <w:gridCol w:w="38"/>
        <w:gridCol w:w="170"/>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2.</w:t>
            </w:r>
          </w:p>
        </w:tc>
        <w:tc>
          <w:tcPr>
            <w:tcW w:w="3065" w:type="dxa"/>
            <w:tcBorders/>
            <w:vAlign w:val="center"/>
          </w:tcPr>
          <w:p>
            <w:pPr>
              <w:pStyle w:val="TableContents"/>
              <w:bidi w:val="0"/>
              <w:spacing w:before="0" w:after="283"/>
              <w:jc w:val="both"/>
              <w:rPr>
                <w:sz w:val="20"/>
              </w:rPr>
            </w:pPr>
            <w:r>
              <w:rPr>
                <w:sz w:val="20"/>
              </w:rPr>
              <w:t>a copy of the Prospectus Supplement,</w:t>
            </w:r>
          </w:p>
        </w:tc>
      </w:tr>
    </w:tbl>
    <w:p>
      <w:pPr>
        <w:pStyle w:val="TextBody"/>
        <w:bidi w:val="0"/>
        <w:spacing w:before="0" w:after="0"/>
        <w:ind w:left="0" w:right="0" w:hanging="0"/>
        <w:jc w:val="left"/>
        <w:rPr>
          <w:caps w:val="false"/>
          <w:smallCaps w:val="false"/>
        </w:rPr>
      </w:pPr>
      <w:r>
        <w:rPr>
          <w:caps w:val="false"/>
          <w:smallCaps w:val="false"/>
        </w:rPr>
        <w:t> </w:t>
      </w:r>
    </w:p>
    <w:tbl>
      <w:tblPr>
        <w:tblW w:w="3033" w:type="dxa"/>
        <w:jc w:val="left"/>
        <w:tblInd w:w="0" w:type="dxa"/>
        <w:tblLayout w:type="fixed"/>
        <w:tblCellMar>
          <w:top w:w="0" w:type="dxa"/>
          <w:left w:w="0" w:type="dxa"/>
          <w:bottom w:w="0" w:type="dxa"/>
          <w:right w:w="0" w:type="dxa"/>
        </w:tblCellMar>
      </w:tblPr>
      <w:tblGrid>
        <w:gridCol w:w="38"/>
        <w:gridCol w:w="170"/>
        <w:gridCol w:w="28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3.</w:t>
            </w:r>
          </w:p>
        </w:tc>
        <w:tc>
          <w:tcPr>
            <w:tcW w:w="2825" w:type="dxa"/>
            <w:tcBorders/>
            <w:vAlign w:val="center"/>
          </w:tcPr>
          <w:p>
            <w:pPr>
              <w:pStyle w:val="TableContents"/>
              <w:bidi w:val="0"/>
              <w:spacing w:before="0" w:after="283"/>
              <w:jc w:val="both"/>
              <w:rPr>
                <w:sz w:val="20"/>
              </w:rPr>
            </w:pPr>
            <w:r>
              <w:rPr>
                <w:sz w:val="20"/>
              </w:rPr>
              <w:t>a copy of the Purchase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20"/>
              </w:rPr>
            </w:pPr>
            <w:r>
              <w:rPr>
                <w:sz w:val="20"/>
              </w:rPr>
              <w:t>4.</w:t>
            </w:r>
          </w:p>
        </w:tc>
        <w:tc>
          <w:tcPr>
            <w:tcW w:w="10007" w:type="dxa"/>
            <w:tcBorders/>
            <w:vAlign w:val="center"/>
          </w:tcPr>
          <w:p>
            <w:pPr>
              <w:pStyle w:val="TableContents"/>
              <w:bidi w:val="0"/>
              <w:spacing w:before="0" w:after="283"/>
              <w:jc w:val="both"/>
              <w:rPr>
                <w:sz w:val="20"/>
              </w:rPr>
            </w:pPr>
            <w:r>
              <w:rPr>
                <w:sz w:val="20"/>
              </w:rPr>
              <w:t>a copy of the Registration Rights Agreement, dated July 10, 2026, by and between the Company and the Investor (the “Registration Rights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878" w:type="dxa"/>
        <w:jc w:val="left"/>
        <w:tblInd w:w="0" w:type="dxa"/>
        <w:tblLayout w:type="fixed"/>
        <w:tblCellMar>
          <w:top w:w="0" w:type="dxa"/>
          <w:left w:w="0" w:type="dxa"/>
          <w:bottom w:w="0" w:type="dxa"/>
          <w:right w:w="0" w:type="dxa"/>
        </w:tblCellMar>
      </w:tblPr>
      <w:tblGrid>
        <w:gridCol w:w="38"/>
        <w:gridCol w:w="170"/>
        <w:gridCol w:w="7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5.</w:t>
            </w:r>
          </w:p>
        </w:tc>
        <w:tc>
          <w:tcPr>
            <w:tcW w:w="7670" w:type="dxa"/>
            <w:tcBorders/>
            <w:vAlign w:val="center"/>
          </w:tcPr>
          <w:p>
            <w:pPr>
              <w:pStyle w:val="TableContents"/>
              <w:bidi w:val="0"/>
              <w:spacing w:before="0" w:after="283"/>
              <w:jc w:val="both"/>
              <w:rPr>
                <w:sz w:val="20"/>
              </w:rPr>
            </w:pPr>
            <w:r>
              <w:rPr>
                <w:sz w:val="20"/>
              </w:rPr>
              <w:t>a copy of the written resolutions of the board of directors of the Company dated July 13,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20"/>
              </w:rPr>
            </w:pPr>
            <w:r>
              <w:rPr>
                <w:sz w:val="20"/>
              </w:rPr>
              <w:t>6.</w:t>
            </w:r>
          </w:p>
        </w:tc>
        <w:tc>
          <w:tcPr>
            <w:tcW w:w="10024" w:type="dxa"/>
            <w:tcBorders/>
            <w:vAlign w:val="center"/>
          </w:tcPr>
          <w:p>
            <w:pPr>
              <w:pStyle w:val="TableContents"/>
              <w:bidi w:val="0"/>
              <w:spacing w:before="0" w:after="283"/>
              <w:jc w:val="both"/>
              <w:rPr>
                <w:sz w:val="20"/>
              </w:rPr>
            </w:pPr>
            <w:r>
              <w:rPr>
                <w:sz w:val="20"/>
              </w:rPr>
              <w:t>a copy of the opinion of Maples and Calder (Hong Kong) LLP, Cayman Islands counsel to the Company, dated July 14, 2026 (the “Cayman Opinion”), furnished as Exhibit 5.1 to the Company’s report on Form 6-K to which this opinion is also furnished as an exhibit (the “Form 6-K”),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7"/>
        <w:gridCol w:w="10000"/>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20"/>
              </w:rPr>
            </w:pPr>
            <w:r>
              <w:rPr>
                <w:sz w:val="20"/>
              </w:rPr>
              <w:t>7.</w:t>
            </w:r>
          </w:p>
        </w:tc>
        <w:tc>
          <w:tcPr>
            <w:tcW w:w="10000" w:type="dxa"/>
            <w:tcBorders/>
            <w:vAlign w:val="center"/>
          </w:tcPr>
          <w:p>
            <w:pPr>
              <w:pStyle w:val="TableContents"/>
              <w:bidi w:val="0"/>
              <w:spacing w:before="0" w:after="283"/>
              <w:jc w:val="both"/>
              <w:rPr>
                <w:sz w:val="20"/>
              </w:rPr>
            </w:pPr>
            <w:r>
              <w:rPr>
                <w:sz w:val="20"/>
              </w:rPr>
              <w:t>such other documents and corporate records as we have deemed necessary or appropriate to enable us to render the opinion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opinion, we have not conducted independent investigations and assumed (i) the factual validity and accuracy of the documents and corporate records that we have examined, (ii) the genuineness of all signatures, (iii) the legal capacity of all natural persons, (iv) the authenticity of all documents submitted to us as originals, (v) the conformity to original documents of all documents submitted to us as certified or photostatic copies and (vi) the authenticity of the originals of such documents. As to any facts material to the opinion expressed herein that we did not independently establish or verify, we have relied upon statements and representations of officers and other representatives of the Company and have assumed that such statements and representations are true, correct and complete without regard to any qualification as to knowledge or belief. Our opinion is conditioned upon, among other things, the initial and continuing truth, accuracy, and completeness of the items described above on which we are relying.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we are of the opinion that the Registration Statement has become effective under the Securities Act and, based solely upon our review of the Commission’s EDGAR system on the date hereof and in reliance of the representations and statements given by the representatives of the Company, no stop order suspending the effectiveness of the Registration Statement has been issued by the Commission and no proceedings for that purpose have been instituted or are pending by the Commission since the Registration Statement’s effectiveness been declared by the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we express no opinion as to: (a) matters of other jurisdictions such as Cayman Islands law, including but not limited the status of the Company, the due authorization, valid issuance, fully paid and non-assessable status of the Shares, which matters are addressed exclusively in the Cayman Opinion; (b) the Company’s eligibility to use Form F-3, or the amount of securities that may be offered or sold under the Registration Statement, including compliance with General Instruction I.B. of Form F-3, the calculation of the Company’s public float or the affiliate status of any holder of the Company’s securities; (c) the truth, accuracy and completeness of any statement contained in, or omitted from, the Registration Statement, the Prospectus Supplement or any document incorporated by reference therein, and we make no statement in the nature of negative assurance; and (d) the legality, validity, binding effect or enforceability of the Purchase Agreement or the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this letter which might be construed to the contrary, our opinion herein is expressed solely with respect to the federal securities laws of the United States to the extent expressly set forth herein. Our opinion is based on these laws as in effect on the date hereof. Our opinion represents only our interpretation of the law and has no binding, legal effect on, without limitation, any court. It is possible that one or more courts may sustain contrary positions. Our opinion is expressed as of the date hereof, and we are under no obligation to supplement or revise this opinion to reflect any changes, including changes which have retroactive effect (i) in applicable law or (ii) in any fact, information, document, corporate record, covenant, statement, representation, or assumption stated herein that becomes untrue, incorrect or incomplete.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is furnished to you for use in connection with the Registration Statement and the Prospectus Supplement and is not to be used, circulated, quoted, or otherwise referred to for any other purpose without our express written permission. We hereby consent to the filing of this opinion as an exhibit to the Form 6-K and to its incorporation by reference into the Registration Statement and the Prospectus Supplement. In giving such consent, we do not thereby admit that we are in the category of persons whose consent is required under Section 7 of the Securities Act of 1933, as amended,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CFN Lawyers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CFN Lawyers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3473</Words>
  <Characters>17834</Characters>
  <CharactersWithSpaces>21248</CharactersWithSpaces>
  <Paragraphs>371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