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19932-1_424b5.htm"/>
      <w:bookmarkStart w:id="1" w:name="kstm26199321_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333-273720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September 26,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76500"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10096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US$30,000,000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the issuance and sale of (i) up to US$30,000,000 of ordinary shares (the “Ordinary Shares”) of Baosheng Media Group Holdings Limited, par value US$0.0096 per share (the “Purchase Shares”) that we may sell to High West Partners LLC (“HW”), from time to time pursuant to a securities purchase agreement, dated July 10, 2026 (the “Purchase Agreement”), entered between us and HW, and (ii) an additional US$300,000 of Ordinary Shares being issued to HW as commitment shares under the Purchase Agreement. See “HW Transaction” for a description of the Purchase Agreement and additional information regarding HW. HW is an “underwriter” within the meaning of Section 2(a)(11) of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Purchase Shares will be based upon formulas set forth in the Purchase Agreement. We will pay the expenses incurred in registering the Ordinary Shares sold under the Purchase Agreement, including legal and accounting fees. See “Plan of Distribution”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Act of 2012, as amended, and, as such, will be subject to reduced public company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as used in this prospectus supplement, the terms (i) “we,” “us,” “our,” or the “Company” refer to Baosheng Media Group Holdings Limited, a Cayman Islands exempted company with limited liability, (ii) “our subsidiaries” or “the subsidiaries” refer to the Company’s direct and indirect subsidiaries, and (iii) “operating entities” refer to the Company’s subsidiaries with business activities, namely Beijing Baosheng Technology Company Limited (“Beijing Baosheng”), Horgos Baosheng Advertising Company Limited (“Horgos Baosheng”), Baosheng Technology (Horgos) Company Limited (“Baosheng Technology”), Kashi Baosheng Information Technology Company Limited (“Kashi Baosheng”), Beijing Baosheng Network Technology Co., Ltd. (“Baosheng Network”) and Beijing Xunhuo E-commerce Co., Ltd. (“Beijing Xunhuo”); all are limited liability companies established in the People’s Republic of China (the “PRC” or “China”) and our indirect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and not a Chinese operating company. As a holding company with no operations of our own, we conduct our operations through the operating entities in China, and this structure involves unique risks to investors. We have not adopted a variable interest entity (the “VIE”) structure. Investors in our securities are not purchasing equity interests in our subsidiaries but instead are purchasing equity interests in the Cayman Islands holding company. Therefore, investors will not directly hold any equity interests in our operating companies. The Chinese regulatory authorities could disallow our corporate structure, which would likely result in a material change in our operations and/or a material change in the value of our securities, including that it could cause the value of such securities to significantly decline or become worthless. For risks facing our Company and this offering as a result of our organizational structure, see “Item 3. Key Information—D. Risk Factors—Risks Related to Doing Business in China” in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being based in China, which could cause the value of our securities to become worthless. PRC laws and regulations governing our current business operations are sometimes vague and uncertain, and as a result these risks may result in material changes in the operations of the PRC subsidiaries, significant depreciation of the value of our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supplement, neither we nor our subsidiaries have been involved in any investigations on cybersecurity review initiated by any PRC regulatory authority, nor has any of them received any inquiry, notice, or sanction.According to the opinion of our PRC counsel —ANLI Partners Law Offices,LLP(Tianjin)—the current and effective "Measures for Cybersecurity Review" that took effect on February 15,2022, the "Provisions on Promoting and Regulating Cross-border Data Flow" that took effect on March 22,2024, and the "Regulations on Network Data Security Management" that took effect on January 1, 2025—particularly Article 5(4) of the "Provisions on Promoting and Regulating Cross-border Data Flow" —which explicitly states that data processors other than operators of critical information infrastructure are exempt from submitting a data outbound security assessment if they have cumulatively provided personal information (excluding sensitive personal information) to overseas entities totaling fewer than 100,000 records since January 1 of the current year. Additionally, the regulations stipulate that cybersecurity reviews or data outbound security assessments are generally not required when processing personal information for fewer than 1 million individuals, operating non-critical information infrastructure, or not handling important data. Based on these legal standards, we have conducted internal self-assessment and confirm that the total volume of personal information we hold does not exceed 1 million and is unlikely to reach this threshold in the near future; we do not operate as a critical information infrastructure entity, do not collect or process important data, and have cumulatively provided less than 100,000 personal records to overseas entities since January 1 of the current year without involving sensitive personal information. Therefore, we believe we meet all the aforementioned exemption criteria and are not required to submit a data outbound security assessment to the Cyberspace Administration of China. It should be specifically noted that the aforementioned conclusion will immediately become invalid under any of the following circumstances, requiring us to conduct a re-evaluation and potentially subjecting it to relevant reviews: (1) the total volume of processed personal information exceeds 1 million; (2) being designated by the competent authorities or publicly identified as an operator of critical information infrastructure or a major data processor; (3) from January 1 of the current year onward, the cumulative amount of personal information provided overseas (excluding sensitive personal information) reaches or exceeds 100,000 records, or the amount of sensitive personal information provided reaches or exceeds 10,000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Cyberspace Administration of China issued the "Provisions on Promoting and Regulating Cross-Border Data Flow" (CAC Order No. 16), which took effect immediately upon issuance. The Provisions provide detailed specifications for implementing data outbound mechanisms, including security assessments for data transfers abroad, standard contracts for personal information transfers abroad, and personal information protection certifications. Specifically, it stipulates that critical information infrastructure operators providing personal information or important data overseas, or data processors other than critical information infrastructure operators transferring important data overseas, or those having cumulatively transferred personal information (excluding sensitive personal information) involving more than 1 million individuals or sensitive personal information involving more than 10,000 individuals overseas since January 1 of the same year, shall submit a security assessment application for data outbound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State Council promulgated the Regulations on Network Data Security Management (State Council Order No. 790), which came into effect on January 1, 2025. The Regulations aim to standardize network data processing activities, safeguard network data security, protect the legitimate rights and interests of individuals and organizations, and uphold national security and public interests. It serves as a key supporting administrative regulation for the Cybersecurity Law, the Data Security Law, and the Personal Information Protection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17, 2023, the China Securities Regulatory Commission (the “CSRC”) released the Trial Administrative Measures of Overseas Securities Offering and Listing by Domestic Companies (the “Trial Measures”) and five supporting guidelines, which took effect on March 31, 2023. Pursuant to the Trial Measures,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On the same day, the CSRC also held a press conference for the release of the Trial Measures and issued the Notice on Administration for the Filing of Overseas Offering and Listing by Domestic Companies, or the CSRC Notice, which, among others, clarifies that PRC domestic companies that have already been listed overseas before the effective date of the Trial Measures, which is March 31, 2023, shall be deemed as Existing Issuers, and Existing Issuers are not required to complete the filing procedures with the CSRC immediately, and they shall be required to file with the CSRC for any subsequent offerings. Based on the foregoing, we are an Existing Issuer, and is required to file with the CSRC for any subsequent offerings within three (3) working days after the completion of each offering. Therefore, we are required to go through filing procedures through our major operating entity incorporated in the PRC with the CSRC within three (3) working days after the completion of this offering pursuant to this prospectus supplement, and prepare a summary report to the CSRC after the completion of all offerings under the accompanying prospectus. We intend to comply with the Trial Measures for this offering and any subsequent offerings under the registration statement on Form F-3 (Registration No. 333-273720). </w:t>
      </w:r>
      <w:r>
        <w:rPr>
          <w:rFonts w:ascii="Times New Roman;Times;Serif" w:hAnsi="Times New Roman;Times;Serif"/>
          <w:b w:val="false"/>
          <w:i w:val="false"/>
          <w:caps w:val="false"/>
          <w:smallCaps w:val="false"/>
          <w:sz w:val="20"/>
          <w:shd w:fill="FFFFFF" w:val="clear"/>
        </w:rPr>
        <w:t xml:space="preserve">Other than the CSRC filing procedures we are required to make within three working days after the completion of this offering and any additional offerings made pursuant to accompanying prospectus and applicable prospectus supplements, we and our PRC subsidiaries, as of the date of this prospectus supplement,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the accompanying prospectus and applicable prospectus supplements. </w:t>
      </w:r>
      <w:r>
        <w:rPr>
          <w:rFonts w:ascii="Times New Roman;Times;Serif" w:hAnsi="Times New Roman;Times;Serif"/>
          <w:b w:val="false"/>
          <w:i w:val="false"/>
          <w:caps w:val="false"/>
          <w:smallCaps w:val="false"/>
          <w:sz w:val="20"/>
        </w:rPr>
        <w:t>See “Risk Factors—Risks Related to Doing Business in China—The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 on pages 27 through 29 of the accompanying prospectus and page 24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2008), the anti-monopoly guidelines for various industries, and the Detailed Rules for the Implementation of the Fair Competition Review System; and (iii) expanding the anti-monopoly law enforcement targeting Internet companies and large enterprises. As of the date of this prospectus supplement, the Chinese government’s recent statements and regulatory actions related to anti-monopoly concerns have not impacted our or our subsidiaries’ ability to conduct business, our ability to accept foreign investments or issue our securities to foreign investors because neither we nor our subsidiaries engage in monopolistic behaviors that are subject to these statements or regulatory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and our subsidiaries have received from PRC authorities all requisite licenses, permissions, and approvals needed to engage in the businesses currently conducted in the PRC, and no permission or approval has been denied. However, we cannot assure you that we will be able to receive clearance of any compliance requirements imposed on us in a timely manner, or at all. Any failure to fully comply with such compliance requirements may cause our PRC subsidiaries to be unable to conduct their businesses or operations in the PRC, subject them to fines, business suspension, or other sanctions. If we and/or our subsidiaries do not receive or maintain the approvals, or we inadvertently conclude that such approvals are not required, or applicable laws, regulations, or interpretations change such that we and/or our subsidiaries are required to obtain approval in the future, we may be subject to an investigation by competent regulators, fines or penalties, ordered to suspend our relevant business and rectify, prohibited from engaging in relevant business, and these risks could result in a material adverse change in our operations, significantly limit or completely hinder our ability to offer or continue to offer securities to investors, or cause such securities to significantly decline in value or become worthless. See “Prospectus Summary—Permissions Required from PRC Authorities” of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two consecutive years beginning in 2021. Our current auditor, GGF CPA LTD (“GGF”), (fka Guangzhou Good Faith CPA LTD), the independent registered public accounting firm that issues the audit report included in the annual report on Form 20-F for the fiscal year ended December 31, 2025, as a firm registered with the PCAOB (PCAOB ID:2729), is subject to laws in the U.S. pursuant to which the PCAOB conducts regular inspections to assess its compliance with the applicable professional standards. GGF, whose audit report is included in this report, is headquartered in Guangzhou, China. While our auditor is based in the PRC and is registered with PCAOB and subject to PCAOB inspection, in the event it is later determined that the PCAOB is unable to inspect or investigate completely the Company’s auditor because of a position taken by an authority in a foreign jurisdiction, then such lack of inspection could cause trading of our securities to be prohibited under the HFCA Act, and ultimately result in a determination by a securities exchange to delist the Company’s securities. The PCAOB continues to demand complete access in mainland China and Hong Kong moving forward and resumed regular inspections in 2023 and beyond, as well as to continue pursuing ongoing investigations and initiate new investigations as needed. The PCAOB has also indicated that it will act immediately to consider the need to issue new determinations with the HFCA Act, if needed.See “Risk Factors—Risks Related to Doing Business in China—Our Ordinary Shares may be delisted and prohibited from being traded under the Holding Foreign Companies Accountable Act if the PCAOB is unable to inspect our auditors. The delisting and the cessation of trading of our Ordinary Shares, or the treat of their being delisted and prohibited from being traded, may materially and adversely affect the value of your investment. Additionally, any inability of the PCAOB to conduct inspections deprives our investors with the benefits of such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 cash management policy in place that dictate how funds are transferred between us and our subsidiaries, or investors. We are a holding company, and we may rely on dividends and other distributions on equity paid by our PRC subsidiaries for our cash and financing requirements, including the furnishing of funds necessary to pay dividends and other cash distributions to our shareholders or to service any debt we may incur. If any of our PRC subsidiaries incurs debt on its own behalf in the future, the instruments governing such debt may restrict their ability to pay dividends to us. There have not been any such dividends or other distributions from our PRC subsidiaries to our subsidiaries located outside of China, as of the date of this prospectus supplement. In addition, as of the date of this prospectus supplement, none of our subsidiaries have ever issued any dividends or distributions to us or their respective shareholders outside of China, and neither we nor any of our subsidiaries have ever paid dividends or made distributions to U.S. investors. As of the date of this prospectus supplement, neither we nor any of our subsidiaries have ever paid dividends or made distributions to U.S. investors. Other than the following transactions, no cash transfers have occurred among us and our subsidiaries: (i) our Hong Kong subsidiary, Baosheng Media Group (Hong Kong) Holdings Limited, or Baosheng Hong Kong, received cash of $38.3 million from us, which represented proceeds raised in the initial public offering of our Ordinary Shares in February 2021, and the private placement of our Ordinary Shares and warrants in March 2021, (ii) on March 16, 2021, Baosheng Hong Kong transferred cash of $6 million, in the form of shareholder loans, to its wholly owned subsidiary, Beijing Baosheng, (iii) in April 2021 and August 2021, Baosheng Hong Kong transferred cash in the aggregate of $30.79 million, in the form of capital contributions, to its wholly owned subsidiary, Beijing Baosheng Network Technology Co., Ltd., or Baosheng Network, and (iv) in 2023, Baosheng Hong Kong transferred cash in the aggregate of $350,000 to the Company. In the future, cash proceeds raised from overseas financing activities may be transferred by us to our PRC subsidiaries by means of capital contributions or shareholder loans, as the case may be.  Notwithstanding the recent legal proceedings of the Group, described more particularly under “Item 4. Information on the Company—B. Business Overview—Legal Proceedings” in our annual report on Form 20-F for the fiscal year ended December 31, 2025, we do not expect that the court’s ruling will impact the cash transferring through the organization. See “Item 18. Financial Statements” starting on page F-1 in our annual report on Form 20-F for the year ended December 31, 2025,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 See “Risk Factors—Risks Related to Doing Business in China—We may rely on dividends paid by our subsidiaries for our cash needs, and any limitation on the ability of our subsidiaries to make payments to us could have a material adverse effect on our ability to conduct business” on pages 34 and 35 of the accompanying prospectus and page 30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a result, any restriction on currency exchange may limit the ability of our PRC operating subsidiaries to use their potential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“Risk Factors—Risks Related to Doing Business in China—We may rely on dividends paid by our subsidiaries for our cash needs, and any limitation on the ability of our subsidiaries to make payments to us could have a material adverse effect on our ability to conduct business” on pages 34 and 35 of the accompanying prospectus and page 30 of our annual report on Form 20-F for the fiscal year ended December 31, 2025 for a detailed discussion of the Chinese legal restrictions on the payment of dividends and our ability to transfer cash within our group. In addition, holders of our Ordinary Shares may potentially be subject to Chinese taxes on dividends paid by us in the event we are deemed a Chinese resident enterprise for Chinese tax purposes. See “Risk Factors—Risks Related to Doing Business in China—You may be subject to PRC income tax on dividends from us or on any gain realized on the transfer of our Ordinary Shares” on page 36 of the accompanying prospectus and page 28 of our annual report on Form 20-F for the fiscal year ended December 31, 2025.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For detailed discussions, see “Prospectus Summary—Dividends and Other Distributions” on the accompanying prospectus and “Risk Factors — Risks Related to Doing Business in China —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on page 34 of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“Risk Factors” beginning on page S-21 of this prospectus supplement and risk factors set forth in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supplement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4715"/>
        <w:gridCol w:w="515"/>
      </w:tblGrid>
      <w:tr>
        <w:trPr/>
        <w:tc>
          <w:tcPr>
            <w:tcW w:w="52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tc>
      </w:tr>
      <w:tr>
        <w:trPr/>
        <w:tc>
          <w:tcPr>
            <w:tcW w:w="5230"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52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c>
      </w:tr>
      <w:tr>
        <w:trPr/>
        <w:tc>
          <w:tcPr>
            <w:tcW w:w="47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7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1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 Supplement</w:t>
              </w:r>
            </w:hyperlink>
          </w:p>
        </w:tc>
        <w:tc>
          <w:tcPr>
            <w:tcW w:w="51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val="false"/>
                  <w:i w:val="false"/>
                  <w:caps w:val="false"/>
                  <w:smallCaps w:val="false"/>
                  <w:sz w:val="20"/>
                </w:rPr>
                <w:t>S-1</w:t>
              </w:r>
            </w:hyperlink>
          </w:p>
        </w:tc>
      </w:tr>
      <w:tr>
        <w:trPr/>
        <w:tc>
          <w:tcPr>
            <w:tcW w:w="471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Commonly Used Defined Terms</w:t>
              </w:r>
            </w:hyperlink>
          </w:p>
        </w:tc>
        <w:tc>
          <w:tcPr>
            <w:tcW w:w="515" w:type="dxa"/>
            <w:tcBorders/>
            <w:shd w:fill="FFFFFF" w:val="clear"/>
            <w:vAlign w:val="center"/>
          </w:tcPr>
          <w:p>
            <w:pPr>
              <w:pStyle w:val="TableContents"/>
              <w:bidi w:val="0"/>
              <w:spacing w:before="0" w:after="283"/>
              <w:jc w:val="center"/>
              <w:rPr/>
            </w:pPr>
            <w:hyperlink w:anchor="a_002">
              <w:r>
                <w:rPr>
                  <w:rStyle w:val="InternetLink"/>
                  <w:rFonts w:ascii="Times New Roman;Times;Serif" w:hAnsi="Times New Roman;Times;Serif"/>
                  <w:b w:val="false"/>
                  <w:i w:val="false"/>
                  <w:caps w:val="false"/>
                  <w:smallCaps w:val="false"/>
                  <w:sz w:val="20"/>
                </w:rPr>
                <w:t>S-2</w:t>
              </w:r>
            </w:hyperlink>
          </w:p>
        </w:tc>
      </w:tr>
      <w:tr>
        <w:trPr/>
        <w:tc>
          <w:tcPr>
            <w:tcW w:w="471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15" w:type="dxa"/>
            <w:tcBorders/>
            <w:shd w:fill="CCEEFF" w:val="clear"/>
            <w:vAlign w:val="center"/>
          </w:tcPr>
          <w:p>
            <w:pPr>
              <w:pStyle w:val="TableContents"/>
              <w:bidi w:val="0"/>
              <w:spacing w:before="0" w:after="283"/>
              <w:jc w:val="center"/>
              <w:rPr/>
            </w:pPr>
            <w:hyperlink w:anchor="a_003">
              <w:r>
                <w:rPr>
                  <w:rStyle w:val="InternetLink"/>
                  <w:rFonts w:ascii="Times New Roman;Times;Serif" w:hAnsi="Times New Roman;Times;Serif"/>
                  <w:b w:val="false"/>
                  <w:i w:val="false"/>
                  <w:caps w:val="false"/>
                  <w:smallCaps w:val="false"/>
                  <w:sz w:val="20"/>
                </w:rPr>
                <w:t>S-4</w:t>
              </w:r>
            </w:hyperlink>
          </w:p>
        </w:tc>
      </w:tr>
      <w:tr>
        <w:trPr/>
        <w:tc>
          <w:tcPr>
            <w:tcW w:w="471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Prospectus Supplement Summary</w:t>
              </w:r>
            </w:hyperlink>
          </w:p>
        </w:tc>
        <w:tc>
          <w:tcPr>
            <w:tcW w:w="515" w:type="dxa"/>
            <w:tcBorders/>
            <w:shd w:fill="FFFFFF" w:val="clear"/>
            <w:vAlign w:val="center"/>
          </w:tcPr>
          <w:p>
            <w:pPr>
              <w:pStyle w:val="TableContents"/>
              <w:bidi w:val="0"/>
              <w:spacing w:before="0" w:after="283"/>
              <w:jc w:val="center"/>
              <w:rPr/>
            </w:pPr>
            <w:hyperlink w:anchor="a_004">
              <w:r>
                <w:rPr>
                  <w:rStyle w:val="InternetLink"/>
                  <w:rFonts w:ascii="Times New Roman;Times;Serif" w:hAnsi="Times New Roman;Times;Serif"/>
                  <w:b w:val="false"/>
                  <w:i w:val="false"/>
                  <w:caps w:val="false"/>
                  <w:smallCaps w:val="false"/>
                  <w:sz w:val="20"/>
                </w:rPr>
                <w:t>S-6</w:t>
              </w:r>
            </w:hyperlink>
          </w:p>
        </w:tc>
      </w:tr>
      <w:tr>
        <w:trPr/>
        <w:tc>
          <w:tcPr>
            <w:tcW w:w="471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Risk Factors</w:t>
              </w:r>
            </w:hyperlink>
          </w:p>
        </w:tc>
        <w:tc>
          <w:tcPr>
            <w:tcW w:w="515" w:type="dxa"/>
            <w:tcBorders/>
            <w:shd w:fill="CCEEFF" w:val="clear"/>
            <w:vAlign w:val="center"/>
          </w:tcPr>
          <w:p>
            <w:pPr>
              <w:pStyle w:val="TableContents"/>
              <w:bidi w:val="0"/>
              <w:spacing w:before="0" w:after="283"/>
              <w:jc w:val="center"/>
              <w:rPr/>
            </w:pPr>
            <w:hyperlink w:anchor="a_005">
              <w:r>
                <w:rPr>
                  <w:rStyle w:val="InternetLink"/>
                  <w:rFonts w:ascii="Times New Roman;Times;Serif" w:hAnsi="Times New Roman;Times;Serif"/>
                  <w:b w:val="false"/>
                  <w:i w:val="false"/>
                  <w:caps w:val="false"/>
                  <w:smallCaps w:val="false"/>
                  <w:sz w:val="20"/>
                </w:rPr>
                <w:t>S-21</w:t>
              </w:r>
            </w:hyperlink>
          </w:p>
        </w:tc>
      </w:tr>
      <w:tr>
        <w:trPr/>
        <w:tc>
          <w:tcPr>
            <w:tcW w:w="471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Capitalization</w:t>
              </w:r>
            </w:hyperlink>
          </w:p>
        </w:tc>
        <w:tc>
          <w:tcPr>
            <w:tcW w:w="515" w:type="dxa"/>
            <w:tcBorders/>
            <w:shd w:fill="FFFFFF" w:val="clear"/>
            <w:vAlign w:val="center"/>
          </w:tcPr>
          <w:p>
            <w:pPr>
              <w:pStyle w:val="TableContents"/>
              <w:bidi w:val="0"/>
              <w:spacing w:before="0" w:after="283"/>
              <w:jc w:val="center"/>
              <w:rPr/>
            </w:pPr>
            <w:hyperlink w:anchor="a_006">
              <w:r>
                <w:rPr>
                  <w:rStyle w:val="InternetLink"/>
                  <w:rFonts w:ascii="Times New Roman;Times;Serif" w:hAnsi="Times New Roman;Times;Serif"/>
                  <w:b w:val="false"/>
                  <w:i w:val="false"/>
                  <w:caps w:val="false"/>
                  <w:smallCaps w:val="false"/>
                  <w:sz w:val="20"/>
                </w:rPr>
                <w:t>S-26</w:t>
              </w:r>
            </w:hyperlink>
          </w:p>
        </w:tc>
      </w:tr>
      <w:tr>
        <w:trPr/>
        <w:tc>
          <w:tcPr>
            <w:tcW w:w="471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Dilution</w:t>
              </w:r>
            </w:hyperlink>
          </w:p>
        </w:tc>
        <w:tc>
          <w:tcPr>
            <w:tcW w:w="515" w:type="dxa"/>
            <w:tcBorders/>
            <w:shd w:fill="CCEEFF" w:val="clear"/>
            <w:vAlign w:val="center"/>
          </w:tcPr>
          <w:p>
            <w:pPr>
              <w:pStyle w:val="TableContents"/>
              <w:bidi w:val="0"/>
              <w:spacing w:before="0" w:after="283"/>
              <w:jc w:val="center"/>
              <w:rPr/>
            </w:pPr>
            <w:hyperlink w:anchor="a_007">
              <w:r>
                <w:rPr>
                  <w:rStyle w:val="InternetLink"/>
                  <w:rFonts w:ascii="Times New Roman;Times;Serif" w:hAnsi="Times New Roman;Times;Serif"/>
                  <w:b w:val="false"/>
                  <w:i w:val="false"/>
                  <w:caps w:val="false"/>
                  <w:smallCaps w:val="false"/>
                  <w:sz w:val="20"/>
                </w:rPr>
                <w:t>S-27</w:t>
              </w:r>
            </w:hyperlink>
          </w:p>
        </w:tc>
      </w:tr>
      <w:tr>
        <w:trPr/>
        <w:tc>
          <w:tcPr>
            <w:tcW w:w="471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Use of Proceeds</w:t>
              </w:r>
            </w:hyperlink>
          </w:p>
        </w:tc>
        <w:tc>
          <w:tcPr>
            <w:tcW w:w="515" w:type="dxa"/>
            <w:tcBorders/>
            <w:shd w:fill="FFFFFF" w:val="clear"/>
            <w:vAlign w:val="center"/>
          </w:tcPr>
          <w:p>
            <w:pPr>
              <w:pStyle w:val="TableContents"/>
              <w:bidi w:val="0"/>
              <w:spacing w:before="0" w:after="283"/>
              <w:jc w:val="center"/>
              <w:rPr/>
            </w:pPr>
            <w:hyperlink w:anchor="a_008">
              <w:r>
                <w:rPr>
                  <w:rStyle w:val="InternetLink"/>
                  <w:rFonts w:ascii="Times New Roman;Times;Serif" w:hAnsi="Times New Roman;Times;Serif"/>
                  <w:b w:val="false"/>
                  <w:i w:val="false"/>
                  <w:caps w:val="false"/>
                  <w:smallCaps w:val="false"/>
                  <w:sz w:val="20"/>
                </w:rPr>
                <w:t>S-28</w:t>
              </w:r>
            </w:hyperlink>
          </w:p>
        </w:tc>
      </w:tr>
      <w:tr>
        <w:trPr/>
        <w:tc>
          <w:tcPr>
            <w:tcW w:w="471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Securities We Are Offering</w:t>
              </w:r>
            </w:hyperlink>
          </w:p>
        </w:tc>
        <w:tc>
          <w:tcPr>
            <w:tcW w:w="515" w:type="dxa"/>
            <w:tcBorders/>
            <w:shd w:fill="CCEEFF" w:val="clear"/>
            <w:vAlign w:val="center"/>
          </w:tcPr>
          <w:p>
            <w:pPr>
              <w:pStyle w:val="TableContents"/>
              <w:bidi w:val="0"/>
              <w:spacing w:before="0" w:after="283"/>
              <w:jc w:val="center"/>
              <w:rPr/>
            </w:pPr>
            <w:hyperlink w:anchor="a_009">
              <w:r>
                <w:rPr>
                  <w:rStyle w:val="InternetLink"/>
                  <w:rFonts w:ascii="Times New Roman;Times;Serif" w:hAnsi="Times New Roman;Times;Serif"/>
                  <w:b w:val="false"/>
                  <w:i w:val="false"/>
                  <w:caps w:val="false"/>
                  <w:smallCaps w:val="false"/>
                  <w:sz w:val="20"/>
                </w:rPr>
                <w:t>S-28</w:t>
              </w:r>
            </w:hyperlink>
          </w:p>
        </w:tc>
      </w:tr>
      <w:tr>
        <w:trPr/>
        <w:tc>
          <w:tcPr>
            <w:tcW w:w="471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HW Transaction</w:t>
              </w:r>
            </w:hyperlink>
          </w:p>
        </w:tc>
        <w:tc>
          <w:tcPr>
            <w:tcW w:w="515" w:type="dxa"/>
            <w:tcBorders/>
            <w:shd w:fill="FFFFFF" w:val="clear"/>
            <w:vAlign w:val="center"/>
          </w:tcPr>
          <w:p>
            <w:pPr>
              <w:pStyle w:val="TableContents"/>
              <w:bidi w:val="0"/>
              <w:spacing w:before="0" w:after="283"/>
              <w:jc w:val="center"/>
              <w:rPr/>
            </w:pPr>
            <w:hyperlink w:anchor="a_010">
              <w:r>
                <w:rPr>
                  <w:rStyle w:val="InternetLink"/>
                  <w:rFonts w:ascii="Times New Roman;Times;Serif" w:hAnsi="Times New Roman;Times;Serif"/>
                  <w:b w:val="false"/>
                  <w:i w:val="false"/>
                  <w:caps w:val="false"/>
                  <w:smallCaps w:val="false"/>
                  <w:sz w:val="20"/>
                </w:rPr>
                <w:t>S-45 </w:t>
              </w:r>
            </w:hyperlink>
          </w:p>
        </w:tc>
      </w:tr>
      <w:tr>
        <w:trPr/>
        <w:tc>
          <w:tcPr>
            <w:tcW w:w="471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Plan of Distribution</w:t>
              </w:r>
            </w:hyperlink>
          </w:p>
        </w:tc>
        <w:tc>
          <w:tcPr>
            <w:tcW w:w="515"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b w:val="false"/>
                  <w:i w:val="false"/>
                  <w:caps w:val="false"/>
                  <w:smallCaps w:val="false"/>
                  <w:sz w:val="20"/>
                </w:rPr>
                <w:t>S-48</w:t>
              </w:r>
            </w:hyperlink>
          </w:p>
        </w:tc>
      </w:tr>
      <w:tr>
        <w:trPr/>
        <w:tc>
          <w:tcPr>
            <w:tcW w:w="471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Matters</w:t>
              </w:r>
            </w:hyperlink>
          </w:p>
        </w:tc>
        <w:tc>
          <w:tcPr>
            <w:tcW w:w="515" w:type="dxa"/>
            <w:tcBorders/>
            <w:shd w:fill="FFFFFF" w:val="clear"/>
            <w:vAlign w:val="center"/>
          </w:tcPr>
          <w:p>
            <w:pPr>
              <w:pStyle w:val="TableContents"/>
              <w:bidi w:val="0"/>
              <w:spacing w:before="0" w:after="283"/>
              <w:jc w:val="center"/>
              <w:rPr/>
            </w:pPr>
            <w:hyperlink w:anchor="a_012">
              <w:r>
                <w:rPr>
                  <w:rStyle w:val="InternetLink"/>
                  <w:rFonts w:ascii="Times New Roman;Times;Serif" w:hAnsi="Times New Roman;Times;Serif"/>
                  <w:b w:val="false"/>
                  <w:i w:val="false"/>
                  <w:caps w:val="false"/>
                  <w:smallCaps w:val="false"/>
                  <w:sz w:val="20"/>
                </w:rPr>
                <w:t>S-49</w:t>
              </w:r>
            </w:hyperlink>
          </w:p>
        </w:tc>
      </w:tr>
      <w:tr>
        <w:trPr/>
        <w:tc>
          <w:tcPr>
            <w:tcW w:w="471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Experts</w:t>
              </w:r>
            </w:hyperlink>
          </w:p>
        </w:tc>
        <w:tc>
          <w:tcPr>
            <w:tcW w:w="515" w:type="dxa"/>
            <w:tcBorders/>
            <w:shd w:fill="CCEEFF" w:val="clear"/>
            <w:vAlign w:val="center"/>
          </w:tcPr>
          <w:p>
            <w:pPr>
              <w:pStyle w:val="TableContents"/>
              <w:bidi w:val="0"/>
              <w:spacing w:before="0" w:after="283"/>
              <w:jc w:val="center"/>
              <w:rPr/>
            </w:pPr>
            <w:hyperlink w:anchor="a_013">
              <w:r>
                <w:rPr>
                  <w:rStyle w:val="InternetLink"/>
                  <w:rFonts w:ascii="Times New Roman;Times;Serif" w:hAnsi="Times New Roman;Times;Serif"/>
                  <w:b w:val="false"/>
                  <w:i w:val="false"/>
                  <w:caps w:val="false"/>
                  <w:smallCaps w:val="false"/>
                  <w:sz w:val="20"/>
                </w:rPr>
                <w:t>S-49</w:t>
              </w:r>
            </w:hyperlink>
          </w:p>
        </w:tc>
      </w:tr>
      <w:tr>
        <w:trPr/>
        <w:tc>
          <w:tcPr>
            <w:tcW w:w="471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Incorporation of Documents by Reference</w:t>
              </w:r>
            </w:hyperlink>
          </w:p>
        </w:tc>
        <w:tc>
          <w:tcPr>
            <w:tcW w:w="515" w:type="dxa"/>
            <w:tcBorders/>
            <w:shd w:fill="FFFFFF" w:val="clear"/>
            <w:vAlign w:val="center"/>
          </w:tcPr>
          <w:p>
            <w:pPr>
              <w:pStyle w:val="TableContents"/>
              <w:bidi w:val="0"/>
              <w:spacing w:before="0" w:after="283"/>
              <w:jc w:val="center"/>
              <w:rPr/>
            </w:pPr>
            <w:hyperlink w:anchor="a_014">
              <w:r>
                <w:rPr>
                  <w:rStyle w:val="InternetLink"/>
                  <w:rFonts w:ascii="Times New Roman;Times;Serif" w:hAnsi="Times New Roman;Times;Serif"/>
                  <w:b w:val="false"/>
                  <w:i w:val="false"/>
                  <w:caps w:val="false"/>
                  <w:smallCaps w:val="false"/>
                  <w:sz w:val="20"/>
                </w:rPr>
                <w:t>S-50</w:t>
              </w:r>
            </w:hyperlink>
          </w:p>
        </w:tc>
      </w:tr>
      <w:tr>
        <w:trPr/>
        <w:tc>
          <w:tcPr>
            <w:tcW w:w="471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Where You Can Find Additional Information</w:t>
              </w:r>
            </w:hyperlink>
          </w:p>
        </w:tc>
        <w:tc>
          <w:tcPr>
            <w:tcW w:w="515" w:type="dxa"/>
            <w:tcBorders/>
            <w:shd w:fill="CCEEFF" w:val="clear"/>
            <w:vAlign w:val="center"/>
          </w:tcPr>
          <w:p>
            <w:pPr>
              <w:pStyle w:val="TableContents"/>
              <w:bidi w:val="0"/>
              <w:spacing w:before="0" w:after="283"/>
              <w:jc w:val="center"/>
              <w:rPr/>
            </w:pPr>
            <w:hyperlink w:anchor="a_015">
              <w:r>
                <w:rPr>
                  <w:rStyle w:val="InternetLink"/>
                  <w:rFonts w:ascii="Times New Roman;Times;Serif" w:hAnsi="Times New Roman;Times;Serif"/>
                  <w:b w:val="false"/>
                  <w:i w:val="false"/>
                  <w:caps w:val="false"/>
                  <w:smallCaps w:val="false"/>
                  <w:sz w:val="20"/>
                </w:rPr>
                <w:t>S-51</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4685"/>
        <w:gridCol w:w="515"/>
      </w:tblGrid>
      <w:tr>
        <w:trPr/>
        <w:tc>
          <w:tcPr>
            <w:tcW w:w="4685"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Page</w:t>
            </w:r>
            <w:r>
              <w:rPr/>
              <w:t> </w:t>
            </w:r>
          </w:p>
        </w:tc>
      </w:tr>
      <w:tr>
        <w:trPr/>
        <w:tc>
          <w:tcPr>
            <w:tcW w:w="4685" w:type="dxa"/>
            <w:tcBorders/>
            <w:shd w:fill="CCEEFF" w:val="clear"/>
            <w:vAlign w:val="center"/>
          </w:tcPr>
          <w:p>
            <w:pPr>
              <w:pStyle w:val="TableContents"/>
              <w:bidi w:val="0"/>
              <w:spacing w:before="0" w:after="283"/>
              <w:jc w:val="left"/>
              <w:rPr/>
            </w:pPr>
            <w:hyperlink w:anchor="i_001">
              <w:r>
                <w:rPr>
                  <w:rStyle w:val="InternetLink"/>
                  <w:rFonts w:ascii="Times New Roman;Times;Serif" w:hAnsi="Times New Roman;Times;Serif"/>
                  <w:sz w:val="20"/>
                </w:rPr>
                <w:t>About this Prospectus</w:t>
              </w:r>
            </w:hyperlink>
          </w:p>
        </w:tc>
        <w:tc>
          <w:tcPr>
            <w:tcW w:w="515" w:type="dxa"/>
            <w:tcBorders/>
            <w:shd w:fill="CCEEFF" w:val="clear"/>
            <w:vAlign w:val="center"/>
          </w:tcPr>
          <w:p>
            <w:pPr>
              <w:pStyle w:val="TableContents"/>
              <w:bidi w:val="0"/>
              <w:spacing w:before="0" w:after="283"/>
              <w:jc w:val="center"/>
              <w:rPr/>
            </w:pPr>
            <w:hyperlink w:anchor="i_001">
              <w:r>
                <w:rPr>
                  <w:rStyle w:val="InternetLink"/>
                  <w:rFonts w:ascii="Times New Roman;Times;Serif" w:hAnsi="Times New Roman;Times;Serif"/>
                  <w:sz w:val="20"/>
                </w:rPr>
                <w:t>8</w:t>
              </w:r>
            </w:hyperlink>
          </w:p>
        </w:tc>
      </w:tr>
      <w:tr>
        <w:trPr/>
        <w:tc>
          <w:tcPr>
            <w:tcW w:w="4685" w:type="dxa"/>
            <w:tcBorders/>
            <w:shd w:fill="FFFFFF" w:val="clear"/>
            <w:vAlign w:val="center"/>
          </w:tcPr>
          <w:p>
            <w:pPr>
              <w:pStyle w:val="TableContents"/>
              <w:bidi w:val="0"/>
              <w:spacing w:before="0" w:after="283"/>
              <w:jc w:val="left"/>
              <w:rPr/>
            </w:pPr>
            <w:hyperlink w:anchor="i_002">
              <w:r>
                <w:rPr>
                  <w:rStyle w:val="InternetLink"/>
                  <w:rFonts w:ascii="Times New Roman;Times;Serif" w:hAnsi="Times New Roman;Times;Serif"/>
                  <w:sz w:val="20"/>
                </w:rPr>
                <w:t>Commonly Used Defined Terms</w:t>
              </w:r>
            </w:hyperlink>
          </w:p>
        </w:tc>
        <w:tc>
          <w:tcPr>
            <w:tcW w:w="515" w:type="dxa"/>
            <w:tcBorders/>
            <w:shd w:fill="FFFFFF" w:val="clear"/>
            <w:vAlign w:val="center"/>
          </w:tcPr>
          <w:p>
            <w:pPr>
              <w:pStyle w:val="TableContents"/>
              <w:bidi w:val="0"/>
              <w:spacing w:before="0" w:after="283"/>
              <w:jc w:val="center"/>
              <w:rPr/>
            </w:pPr>
            <w:hyperlink w:anchor="i_002">
              <w:r>
                <w:rPr>
                  <w:rStyle w:val="InternetLink"/>
                  <w:rFonts w:ascii="Times New Roman;Times;Serif" w:hAnsi="Times New Roman;Times;Serif"/>
                  <w:sz w:val="20"/>
                </w:rPr>
                <w:t>8</w:t>
              </w:r>
            </w:hyperlink>
          </w:p>
        </w:tc>
      </w:tr>
      <w:tr>
        <w:trPr/>
        <w:tc>
          <w:tcPr>
            <w:tcW w:w="4685" w:type="dxa"/>
            <w:tcBorders/>
            <w:shd w:fill="CCEEFF" w:val="clear"/>
            <w:vAlign w:val="center"/>
          </w:tcPr>
          <w:p>
            <w:pPr>
              <w:pStyle w:val="TableContents"/>
              <w:bidi w:val="0"/>
              <w:spacing w:before="0" w:after="283"/>
              <w:jc w:val="left"/>
              <w:rPr/>
            </w:pPr>
            <w:hyperlink w:anchor="i_003">
              <w:r>
                <w:rPr>
                  <w:rStyle w:val="InternetLink"/>
                  <w:rFonts w:ascii="Times New Roman;Times;Serif" w:hAnsi="Times New Roman;Times;Serif"/>
                  <w:sz w:val="20"/>
                </w:rPr>
                <w:t>Cautionary Note Regarding Forward-Looking Statements</w:t>
              </w:r>
            </w:hyperlink>
          </w:p>
        </w:tc>
        <w:tc>
          <w:tcPr>
            <w:tcW w:w="515" w:type="dxa"/>
            <w:tcBorders/>
            <w:shd w:fill="CCEEFF" w:val="clear"/>
            <w:vAlign w:val="center"/>
          </w:tcPr>
          <w:p>
            <w:pPr>
              <w:pStyle w:val="TableContents"/>
              <w:bidi w:val="0"/>
              <w:spacing w:before="0" w:after="283"/>
              <w:jc w:val="center"/>
              <w:rPr/>
            </w:pPr>
            <w:hyperlink w:anchor="i_003">
              <w:r>
                <w:rPr>
                  <w:rStyle w:val="InternetLink"/>
                  <w:rFonts w:ascii="Times New Roman;Times;Serif" w:hAnsi="Times New Roman;Times;Serif"/>
                  <w:sz w:val="20"/>
                </w:rPr>
                <w:t>12</w:t>
              </w:r>
            </w:hyperlink>
          </w:p>
        </w:tc>
      </w:tr>
      <w:tr>
        <w:trPr/>
        <w:tc>
          <w:tcPr>
            <w:tcW w:w="4685" w:type="dxa"/>
            <w:tcBorders/>
            <w:shd w:fill="FFFFFF" w:val="clear"/>
            <w:vAlign w:val="center"/>
          </w:tcPr>
          <w:p>
            <w:pPr>
              <w:pStyle w:val="TableContents"/>
              <w:bidi w:val="0"/>
              <w:spacing w:before="0" w:after="283"/>
              <w:jc w:val="left"/>
              <w:rPr/>
            </w:pPr>
            <w:hyperlink w:anchor="i_027">
              <w:r>
                <w:rPr>
                  <w:rStyle w:val="InternetLink"/>
                  <w:rFonts w:ascii="Times New Roman;Times;Serif" w:hAnsi="Times New Roman;Times;Serif"/>
                  <w:sz w:val="20"/>
                </w:rPr>
                <w:t>Prospectus Summary</w:t>
              </w:r>
            </w:hyperlink>
          </w:p>
        </w:tc>
        <w:tc>
          <w:tcPr>
            <w:tcW w:w="515" w:type="dxa"/>
            <w:tcBorders/>
            <w:shd w:fill="FFFFFF" w:val="clear"/>
            <w:vAlign w:val="center"/>
          </w:tcPr>
          <w:p>
            <w:pPr>
              <w:pStyle w:val="TableContents"/>
              <w:bidi w:val="0"/>
              <w:spacing w:before="0" w:after="283"/>
              <w:jc w:val="center"/>
              <w:rPr/>
            </w:pPr>
            <w:hyperlink w:anchor="i_027">
              <w:r>
                <w:rPr>
                  <w:rStyle w:val="InternetLink"/>
                  <w:rFonts w:ascii="Times New Roman;Times;Serif" w:hAnsi="Times New Roman;Times;Serif"/>
                  <w:sz w:val="20"/>
                </w:rPr>
                <w:t>13</w:t>
              </w:r>
            </w:hyperlink>
          </w:p>
        </w:tc>
      </w:tr>
      <w:tr>
        <w:trPr/>
        <w:tc>
          <w:tcPr>
            <w:tcW w:w="4685" w:type="dxa"/>
            <w:tcBorders/>
            <w:shd w:fill="CCEEFF" w:val="clear"/>
            <w:vAlign w:val="center"/>
          </w:tcPr>
          <w:p>
            <w:pPr>
              <w:pStyle w:val="TableContents"/>
              <w:bidi w:val="0"/>
              <w:spacing w:before="0" w:after="283"/>
              <w:jc w:val="left"/>
              <w:rPr/>
            </w:pPr>
            <w:hyperlink w:anchor="i_004">
              <w:r>
                <w:rPr>
                  <w:rStyle w:val="InternetLink"/>
                  <w:rFonts w:ascii="Times New Roman;Times;Serif" w:hAnsi="Times New Roman;Times;Serif"/>
                  <w:sz w:val="20"/>
                </w:rPr>
                <w:t>Risk Factors</w:t>
              </w:r>
            </w:hyperlink>
          </w:p>
        </w:tc>
        <w:tc>
          <w:tcPr>
            <w:tcW w:w="515" w:type="dxa"/>
            <w:tcBorders/>
            <w:shd w:fill="CCEEFF" w:val="clear"/>
            <w:vAlign w:val="center"/>
          </w:tcPr>
          <w:p>
            <w:pPr>
              <w:pStyle w:val="TableContents"/>
              <w:bidi w:val="0"/>
              <w:spacing w:before="0" w:after="283"/>
              <w:jc w:val="center"/>
              <w:rPr/>
            </w:pPr>
            <w:hyperlink w:anchor="i_004">
              <w:r>
                <w:rPr>
                  <w:rStyle w:val="InternetLink"/>
                  <w:rFonts w:ascii="Times New Roman;Times;Serif" w:hAnsi="Times New Roman;Times;Serif"/>
                  <w:sz w:val="20"/>
                </w:rPr>
                <w:t>25</w:t>
              </w:r>
            </w:hyperlink>
          </w:p>
        </w:tc>
      </w:tr>
      <w:tr>
        <w:trPr/>
        <w:tc>
          <w:tcPr>
            <w:tcW w:w="4685" w:type="dxa"/>
            <w:tcBorders/>
            <w:shd w:fill="FFFFFF" w:val="clear"/>
            <w:vAlign w:val="center"/>
          </w:tcPr>
          <w:p>
            <w:pPr>
              <w:pStyle w:val="TableContents"/>
              <w:bidi w:val="0"/>
              <w:spacing w:before="0" w:after="283"/>
              <w:jc w:val="left"/>
              <w:rPr/>
            </w:pPr>
            <w:hyperlink w:anchor="i_005">
              <w:r>
                <w:rPr>
                  <w:rStyle w:val="InternetLink"/>
                  <w:rFonts w:ascii="Times New Roman;Times;Serif" w:hAnsi="Times New Roman;Times;Serif"/>
                  <w:sz w:val="20"/>
                </w:rPr>
                <w:t>Offer Statistics and Expected Timetable</w:t>
              </w:r>
            </w:hyperlink>
          </w:p>
        </w:tc>
        <w:tc>
          <w:tcPr>
            <w:tcW w:w="515" w:type="dxa"/>
            <w:tcBorders/>
            <w:shd w:fill="FFFFFF" w:val="clear"/>
            <w:vAlign w:val="center"/>
          </w:tcPr>
          <w:p>
            <w:pPr>
              <w:pStyle w:val="TableContents"/>
              <w:bidi w:val="0"/>
              <w:spacing w:before="0" w:after="283"/>
              <w:jc w:val="center"/>
              <w:rPr/>
            </w:pPr>
            <w:hyperlink w:anchor="i_005">
              <w:r>
                <w:rPr>
                  <w:rStyle w:val="InternetLink"/>
                  <w:rFonts w:ascii="Times New Roman;Times;Serif" w:hAnsi="Times New Roman;Times;Serif"/>
                  <w:sz w:val="20"/>
                </w:rPr>
                <w:t>42</w:t>
              </w:r>
            </w:hyperlink>
          </w:p>
        </w:tc>
      </w:tr>
      <w:tr>
        <w:trPr/>
        <w:tc>
          <w:tcPr>
            <w:tcW w:w="4685" w:type="dxa"/>
            <w:tcBorders/>
            <w:shd w:fill="CCEEFF" w:val="clear"/>
            <w:vAlign w:val="center"/>
          </w:tcPr>
          <w:p>
            <w:pPr>
              <w:pStyle w:val="TableContents"/>
              <w:bidi w:val="0"/>
              <w:spacing w:before="0" w:after="283"/>
              <w:jc w:val="left"/>
              <w:rPr/>
            </w:pPr>
            <w:hyperlink w:anchor="i_006">
              <w:r>
                <w:rPr>
                  <w:rStyle w:val="InternetLink"/>
                  <w:rFonts w:ascii="Times New Roman;Times;Serif" w:hAnsi="Times New Roman;Times;Serif"/>
                  <w:sz w:val="20"/>
                </w:rPr>
                <w:t>Capitalization and Indebtedness</w:t>
              </w:r>
            </w:hyperlink>
          </w:p>
        </w:tc>
        <w:tc>
          <w:tcPr>
            <w:tcW w:w="515" w:type="dxa"/>
            <w:tcBorders/>
            <w:shd w:fill="CCEEFF" w:val="clear"/>
            <w:vAlign w:val="center"/>
          </w:tcPr>
          <w:p>
            <w:pPr>
              <w:pStyle w:val="TableContents"/>
              <w:bidi w:val="0"/>
              <w:spacing w:before="0" w:after="283"/>
              <w:jc w:val="center"/>
              <w:rPr/>
            </w:pPr>
            <w:hyperlink w:anchor="i_006">
              <w:r>
                <w:rPr>
                  <w:rStyle w:val="InternetLink"/>
                  <w:rFonts w:ascii="Times New Roman;Times;Serif" w:hAnsi="Times New Roman;Times;Serif"/>
                  <w:sz w:val="20"/>
                </w:rPr>
                <w:t>42</w:t>
              </w:r>
            </w:hyperlink>
          </w:p>
        </w:tc>
      </w:tr>
      <w:tr>
        <w:trPr/>
        <w:tc>
          <w:tcPr>
            <w:tcW w:w="4685" w:type="dxa"/>
            <w:tcBorders/>
            <w:shd w:fill="FFFFFF" w:val="clear"/>
            <w:vAlign w:val="center"/>
          </w:tcPr>
          <w:p>
            <w:pPr>
              <w:pStyle w:val="TableContents"/>
              <w:bidi w:val="0"/>
              <w:spacing w:before="0" w:after="283"/>
              <w:jc w:val="left"/>
              <w:rPr/>
            </w:pPr>
            <w:hyperlink w:anchor="i_007">
              <w:r>
                <w:rPr>
                  <w:rStyle w:val="InternetLink"/>
                  <w:rFonts w:ascii="Times New Roman;Times;Serif" w:hAnsi="Times New Roman;Times;Serif"/>
                  <w:sz w:val="20"/>
                </w:rPr>
                <w:t>Dilution</w:t>
              </w:r>
            </w:hyperlink>
          </w:p>
        </w:tc>
        <w:tc>
          <w:tcPr>
            <w:tcW w:w="515" w:type="dxa"/>
            <w:tcBorders/>
            <w:shd w:fill="FFFFFF" w:val="clear"/>
            <w:vAlign w:val="center"/>
          </w:tcPr>
          <w:p>
            <w:pPr>
              <w:pStyle w:val="TableContents"/>
              <w:bidi w:val="0"/>
              <w:spacing w:before="0" w:after="283"/>
              <w:jc w:val="center"/>
              <w:rPr/>
            </w:pPr>
            <w:hyperlink w:anchor="i_007">
              <w:r>
                <w:rPr>
                  <w:rStyle w:val="InternetLink"/>
                  <w:rFonts w:ascii="Times New Roman;Times;Serif" w:hAnsi="Times New Roman;Times;Serif"/>
                  <w:sz w:val="20"/>
                </w:rPr>
                <w:t>42</w:t>
              </w:r>
            </w:hyperlink>
          </w:p>
        </w:tc>
      </w:tr>
      <w:tr>
        <w:trPr/>
        <w:tc>
          <w:tcPr>
            <w:tcW w:w="4685" w:type="dxa"/>
            <w:tcBorders/>
            <w:shd w:fill="CCEEFF" w:val="clear"/>
            <w:vAlign w:val="center"/>
          </w:tcPr>
          <w:p>
            <w:pPr>
              <w:pStyle w:val="TableContents"/>
              <w:bidi w:val="0"/>
              <w:spacing w:before="0" w:after="283"/>
              <w:jc w:val="left"/>
              <w:rPr/>
            </w:pPr>
            <w:hyperlink w:anchor="i_008">
              <w:r>
                <w:rPr>
                  <w:rStyle w:val="InternetLink"/>
                  <w:rFonts w:ascii="Times New Roman;Times;Serif" w:hAnsi="Times New Roman;Times;Serif"/>
                  <w:sz w:val="20"/>
                </w:rPr>
                <w:t>Use of Proceeds</w:t>
              </w:r>
            </w:hyperlink>
          </w:p>
        </w:tc>
        <w:tc>
          <w:tcPr>
            <w:tcW w:w="515" w:type="dxa"/>
            <w:tcBorders/>
            <w:shd w:fill="CCEEFF" w:val="clear"/>
            <w:vAlign w:val="center"/>
          </w:tcPr>
          <w:p>
            <w:pPr>
              <w:pStyle w:val="TableContents"/>
              <w:bidi w:val="0"/>
              <w:spacing w:before="0" w:after="283"/>
              <w:jc w:val="center"/>
              <w:rPr/>
            </w:pPr>
            <w:hyperlink w:anchor="i_008">
              <w:r>
                <w:rPr>
                  <w:rStyle w:val="InternetLink"/>
                  <w:rFonts w:ascii="Times New Roman;Times;Serif" w:hAnsi="Times New Roman;Times;Serif"/>
                  <w:sz w:val="20"/>
                </w:rPr>
                <w:t>42</w:t>
              </w:r>
            </w:hyperlink>
          </w:p>
        </w:tc>
      </w:tr>
      <w:tr>
        <w:trPr/>
        <w:tc>
          <w:tcPr>
            <w:tcW w:w="4685" w:type="dxa"/>
            <w:tcBorders/>
            <w:shd w:fill="FFFFFF" w:val="clear"/>
            <w:vAlign w:val="center"/>
          </w:tcPr>
          <w:p>
            <w:pPr>
              <w:pStyle w:val="TableContents"/>
              <w:bidi w:val="0"/>
              <w:spacing w:before="0" w:after="283"/>
              <w:jc w:val="left"/>
              <w:rPr/>
            </w:pPr>
            <w:hyperlink w:anchor="i_010">
              <w:r>
                <w:rPr>
                  <w:rStyle w:val="InternetLink"/>
                  <w:rFonts w:ascii="Times New Roman;Times;Serif" w:hAnsi="Times New Roman;Times;Serif"/>
                  <w:sz w:val="20"/>
                </w:rPr>
                <w:t>Description of Share Capital</w:t>
              </w:r>
            </w:hyperlink>
          </w:p>
        </w:tc>
        <w:tc>
          <w:tcPr>
            <w:tcW w:w="515" w:type="dxa"/>
            <w:tcBorders/>
            <w:shd w:fill="FFFFFF" w:val="clear"/>
            <w:vAlign w:val="center"/>
          </w:tcPr>
          <w:p>
            <w:pPr>
              <w:pStyle w:val="TableContents"/>
              <w:bidi w:val="0"/>
              <w:spacing w:before="0" w:after="283"/>
              <w:jc w:val="center"/>
              <w:rPr/>
            </w:pPr>
            <w:hyperlink w:anchor="i_010">
              <w:r>
                <w:rPr>
                  <w:rStyle w:val="InternetLink"/>
                  <w:rFonts w:ascii="Times New Roman;Times;Serif" w:hAnsi="Times New Roman;Times;Serif"/>
                  <w:sz w:val="20"/>
                </w:rPr>
                <w:t>43</w:t>
              </w:r>
            </w:hyperlink>
          </w:p>
        </w:tc>
      </w:tr>
      <w:tr>
        <w:trPr/>
        <w:tc>
          <w:tcPr>
            <w:tcW w:w="4685" w:type="dxa"/>
            <w:tcBorders/>
            <w:shd w:fill="CCEEFF" w:val="clear"/>
            <w:vAlign w:val="center"/>
          </w:tcPr>
          <w:p>
            <w:pPr>
              <w:pStyle w:val="TableContents"/>
              <w:bidi w:val="0"/>
              <w:spacing w:before="0" w:after="283"/>
              <w:jc w:val="left"/>
              <w:rPr/>
            </w:pPr>
            <w:hyperlink w:anchor="i_011">
              <w:r>
                <w:rPr>
                  <w:rStyle w:val="InternetLink"/>
                  <w:rFonts w:ascii="Times New Roman;Times;Serif" w:hAnsi="Times New Roman;Times;Serif"/>
                  <w:sz w:val="20"/>
                </w:rPr>
                <w:t>Description of Ordinary Shares</w:t>
              </w:r>
            </w:hyperlink>
          </w:p>
        </w:tc>
        <w:tc>
          <w:tcPr>
            <w:tcW w:w="515" w:type="dxa"/>
            <w:tcBorders/>
            <w:shd w:fill="CCEEFF" w:val="clear"/>
            <w:vAlign w:val="center"/>
          </w:tcPr>
          <w:p>
            <w:pPr>
              <w:pStyle w:val="TableContents"/>
              <w:bidi w:val="0"/>
              <w:spacing w:before="0" w:after="283"/>
              <w:jc w:val="center"/>
              <w:rPr/>
            </w:pPr>
            <w:hyperlink w:anchor="i_011">
              <w:r>
                <w:rPr>
                  <w:rStyle w:val="InternetLink"/>
                  <w:rFonts w:ascii="Times New Roman;Times;Serif" w:hAnsi="Times New Roman;Times;Serif"/>
                  <w:sz w:val="20"/>
                </w:rPr>
                <w:t>62</w:t>
              </w:r>
            </w:hyperlink>
          </w:p>
        </w:tc>
      </w:tr>
      <w:tr>
        <w:trPr/>
        <w:tc>
          <w:tcPr>
            <w:tcW w:w="4685" w:type="dxa"/>
            <w:tcBorders/>
            <w:shd w:fill="FFFFFF" w:val="clear"/>
            <w:vAlign w:val="center"/>
          </w:tcPr>
          <w:p>
            <w:pPr>
              <w:pStyle w:val="TableContents"/>
              <w:bidi w:val="0"/>
              <w:spacing w:before="0" w:after="283"/>
              <w:jc w:val="left"/>
              <w:rPr/>
            </w:pPr>
            <w:hyperlink w:anchor="i_012">
              <w:r>
                <w:rPr>
                  <w:rStyle w:val="InternetLink"/>
                  <w:rFonts w:ascii="Times New Roman;Times;Serif" w:hAnsi="Times New Roman;Times;Serif"/>
                  <w:sz w:val="20"/>
                </w:rPr>
                <w:t>Description of Debt Securities</w:t>
              </w:r>
            </w:hyperlink>
          </w:p>
        </w:tc>
        <w:tc>
          <w:tcPr>
            <w:tcW w:w="515" w:type="dxa"/>
            <w:tcBorders/>
            <w:shd w:fill="FFFFFF" w:val="clear"/>
            <w:vAlign w:val="center"/>
          </w:tcPr>
          <w:p>
            <w:pPr>
              <w:pStyle w:val="TableContents"/>
              <w:bidi w:val="0"/>
              <w:spacing w:before="0" w:after="283"/>
              <w:jc w:val="center"/>
              <w:rPr/>
            </w:pPr>
            <w:hyperlink w:anchor="i_012">
              <w:r>
                <w:rPr>
                  <w:rStyle w:val="InternetLink"/>
                  <w:rFonts w:ascii="Times New Roman;Times;Serif" w:hAnsi="Times New Roman;Times;Serif"/>
                  <w:sz w:val="20"/>
                </w:rPr>
                <w:t>62</w:t>
              </w:r>
            </w:hyperlink>
          </w:p>
        </w:tc>
      </w:tr>
      <w:tr>
        <w:trPr/>
        <w:tc>
          <w:tcPr>
            <w:tcW w:w="4685" w:type="dxa"/>
            <w:tcBorders/>
            <w:shd w:fill="CCEEFF" w:val="clear"/>
            <w:vAlign w:val="center"/>
          </w:tcPr>
          <w:p>
            <w:pPr>
              <w:pStyle w:val="TableContents"/>
              <w:bidi w:val="0"/>
              <w:spacing w:before="0" w:after="283"/>
              <w:jc w:val="left"/>
              <w:rPr/>
            </w:pPr>
            <w:hyperlink w:anchor="i_013">
              <w:r>
                <w:rPr>
                  <w:rStyle w:val="InternetLink"/>
                  <w:rFonts w:ascii="Times New Roman;Times;Serif" w:hAnsi="Times New Roman;Times;Serif"/>
                  <w:sz w:val="20"/>
                </w:rPr>
                <w:t>Description of Warrants</w:t>
              </w:r>
            </w:hyperlink>
          </w:p>
        </w:tc>
        <w:tc>
          <w:tcPr>
            <w:tcW w:w="515" w:type="dxa"/>
            <w:tcBorders/>
            <w:shd w:fill="CCEEFF" w:val="clear"/>
            <w:vAlign w:val="center"/>
          </w:tcPr>
          <w:p>
            <w:pPr>
              <w:pStyle w:val="TableContents"/>
              <w:bidi w:val="0"/>
              <w:spacing w:before="0" w:after="283"/>
              <w:jc w:val="center"/>
              <w:rPr/>
            </w:pPr>
            <w:hyperlink w:anchor="i_013">
              <w:r>
                <w:rPr>
                  <w:rStyle w:val="InternetLink"/>
                  <w:rFonts w:ascii="Times New Roman;Times;Serif" w:hAnsi="Times New Roman;Times;Serif"/>
                  <w:sz w:val="20"/>
                </w:rPr>
                <w:t>64</w:t>
              </w:r>
            </w:hyperlink>
          </w:p>
        </w:tc>
      </w:tr>
      <w:tr>
        <w:trPr/>
        <w:tc>
          <w:tcPr>
            <w:tcW w:w="4685" w:type="dxa"/>
            <w:tcBorders/>
            <w:shd w:fill="FFFFFF" w:val="clear"/>
            <w:vAlign w:val="center"/>
          </w:tcPr>
          <w:p>
            <w:pPr>
              <w:pStyle w:val="TableContents"/>
              <w:bidi w:val="0"/>
              <w:spacing w:before="0" w:after="283"/>
              <w:jc w:val="left"/>
              <w:rPr/>
            </w:pPr>
            <w:hyperlink w:anchor="i_014">
              <w:r>
                <w:rPr>
                  <w:rStyle w:val="InternetLink"/>
                  <w:rFonts w:ascii="Times New Roman;Times;Serif" w:hAnsi="Times New Roman;Times;Serif"/>
                  <w:sz w:val="20"/>
                </w:rPr>
                <w:t>Description of Rights</w:t>
              </w:r>
            </w:hyperlink>
          </w:p>
        </w:tc>
        <w:tc>
          <w:tcPr>
            <w:tcW w:w="515" w:type="dxa"/>
            <w:tcBorders/>
            <w:shd w:fill="FFFFFF" w:val="clear"/>
            <w:vAlign w:val="center"/>
          </w:tcPr>
          <w:p>
            <w:pPr>
              <w:pStyle w:val="TableContents"/>
              <w:bidi w:val="0"/>
              <w:spacing w:before="0" w:after="283"/>
              <w:jc w:val="center"/>
              <w:rPr/>
            </w:pPr>
            <w:hyperlink w:anchor="i_014">
              <w:r>
                <w:rPr>
                  <w:rStyle w:val="InternetLink"/>
                  <w:rFonts w:ascii="Times New Roman;Times;Serif" w:hAnsi="Times New Roman;Times;Serif"/>
                  <w:sz w:val="20"/>
                </w:rPr>
                <w:t>66</w:t>
              </w:r>
            </w:hyperlink>
          </w:p>
        </w:tc>
      </w:tr>
      <w:tr>
        <w:trPr/>
        <w:tc>
          <w:tcPr>
            <w:tcW w:w="4685" w:type="dxa"/>
            <w:tcBorders/>
            <w:shd w:fill="CCEEFF" w:val="clear"/>
            <w:vAlign w:val="center"/>
          </w:tcPr>
          <w:p>
            <w:pPr>
              <w:pStyle w:val="TableContents"/>
              <w:bidi w:val="0"/>
              <w:spacing w:before="0" w:after="283"/>
              <w:jc w:val="left"/>
              <w:rPr/>
            </w:pPr>
            <w:hyperlink w:anchor="i_015">
              <w:r>
                <w:rPr>
                  <w:rStyle w:val="InternetLink"/>
                  <w:rFonts w:ascii="Times New Roman;Times;Serif" w:hAnsi="Times New Roman;Times;Serif"/>
                  <w:sz w:val="20"/>
                </w:rPr>
                <w:t>Description of Units</w:t>
              </w:r>
            </w:hyperlink>
          </w:p>
        </w:tc>
        <w:tc>
          <w:tcPr>
            <w:tcW w:w="515" w:type="dxa"/>
            <w:tcBorders/>
            <w:shd w:fill="CCEEFF" w:val="clear"/>
            <w:vAlign w:val="center"/>
          </w:tcPr>
          <w:p>
            <w:pPr>
              <w:pStyle w:val="TableContents"/>
              <w:bidi w:val="0"/>
              <w:spacing w:before="0" w:after="283"/>
              <w:jc w:val="center"/>
              <w:rPr/>
            </w:pPr>
            <w:hyperlink w:anchor="i_015">
              <w:r>
                <w:rPr>
                  <w:rStyle w:val="InternetLink"/>
                  <w:rFonts w:ascii="Times New Roman;Times;Serif" w:hAnsi="Times New Roman;Times;Serif"/>
                  <w:sz w:val="20"/>
                </w:rPr>
                <w:t>67</w:t>
              </w:r>
            </w:hyperlink>
          </w:p>
        </w:tc>
      </w:tr>
      <w:tr>
        <w:trPr/>
        <w:tc>
          <w:tcPr>
            <w:tcW w:w="4685" w:type="dxa"/>
            <w:tcBorders/>
            <w:shd w:fill="FFFFFF" w:val="clear"/>
            <w:vAlign w:val="center"/>
          </w:tcPr>
          <w:p>
            <w:pPr>
              <w:pStyle w:val="TableContents"/>
              <w:bidi w:val="0"/>
              <w:spacing w:before="0" w:after="283"/>
              <w:jc w:val="left"/>
              <w:rPr/>
            </w:pPr>
            <w:hyperlink w:anchor="i_016">
              <w:r>
                <w:rPr>
                  <w:rStyle w:val="InternetLink"/>
                  <w:rFonts w:ascii="Times New Roman;Times;Serif" w:hAnsi="Times New Roman;Times;Serif"/>
                  <w:sz w:val="20"/>
                </w:rPr>
                <w:t>Selling Shareholders</w:t>
              </w:r>
            </w:hyperlink>
          </w:p>
        </w:tc>
        <w:tc>
          <w:tcPr>
            <w:tcW w:w="515" w:type="dxa"/>
            <w:tcBorders/>
            <w:shd w:fill="FFFFFF" w:val="clear"/>
            <w:vAlign w:val="center"/>
          </w:tcPr>
          <w:p>
            <w:pPr>
              <w:pStyle w:val="TableContents"/>
              <w:bidi w:val="0"/>
              <w:spacing w:before="0" w:after="283"/>
              <w:jc w:val="center"/>
              <w:rPr/>
            </w:pPr>
            <w:hyperlink w:anchor="i_016">
              <w:r>
                <w:rPr>
                  <w:rStyle w:val="InternetLink"/>
                  <w:rFonts w:ascii="Times New Roman;Times;Serif" w:hAnsi="Times New Roman;Times;Serif"/>
                  <w:sz w:val="20"/>
                </w:rPr>
                <w:t>68</w:t>
              </w:r>
            </w:hyperlink>
          </w:p>
        </w:tc>
      </w:tr>
      <w:tr>
        <w:trPr/>
        <w:tc>
          <w:tcPr>
            <w:tcW w:w="4685" w:type="dxa"/>
            <w:tcBorders/>
            <w:shd w:fill="CCEEFF" w:val="clear"/>
            <w:vAlign w:val="center"/>
          </w:tcPr>
          <w:p>
            <w:pPr>
              <w:pStyle w:val="TableContents"/>
              <w:bidi w:val="0"/>
              <w:spacing w:before="0" w:after="283"/>
              <w:jc w:val="left"/>
              <w:rPr/>
            </w:pPr>
            <w:hyperlink w:anchor="i_017">
              <w:r>
                <w:rPr>
                  <w:rStyle w:val="InternetLink"/>
                  <w:rFonts w:ascii="Times New Roman;Times;Serif" w:hAnsi="Times New Roman;Times;Serif"/>
                  <w:sz w:val="20"/>
                </w:rPr>
                <w:t>Plan of Distribution</w:t>
              </w:r>
            </w:hyperlink>
          </w:p>
        </w:tc>
        <w:tc>
          <w:tcPr>
            <w:tcW w:w="515" w:type="dxa"/>
            <w:tcBorders/>
            <w:shd w:fill="CCEEFF" w:val="clear"/>
            <w:vAlign w:val="center"/>
          </w:tcPr>
          <w:p>
            <w:pPr>
              <w:pStyle w:val="TableContents"/>
              <w:bidi w:val="0"/>
              <w:spacing w:before="0" w:after="283"/>
              <w:jc w:val="center"/>
              <w:rPr/>
            </w:pPr>
            <w:hyperlink w:anchor="i_017">
              <w:r>
                <w:rPr>
                  <w:rStyle w:val="InternetLink"/>
                  <w:rFonts w:ascii="Times New Roman;Times;Serif" w:hAnsi="Times New Roman;Times;Serif"/>
                  <w:sz w:val="20"/>
                </w:rPr>
                <w:t>69</w:t>
              </w:r>
            </w:hyperlink>
          </w:p>
        </w:tc>
      </w:tr>
      <w:tr>
        <w:trPr/>
        <w:tc>
          <w:tcPr>
            <w:tcW w:w="4685" w:type="dxa"/>
            <w:tcBorders/>
            <w:shd w:fill="FFFFFF" w:val="clear"/>
            <w:vAlign w:val="center"/>
          </w:tcPr>
          <w:p>
            <w:pPr>
              <w:pStyle w:val="TableContents"/>
              <w:bidi w:val="0"/>
              <w:spacing w:before="0" w:after="283"/>
              <w:jc w:val="left"/>
              <w:rPr/>
            </w:pPr>
            <w:hyperlink w:anchor="i_018">
              <w:r>
                <w:rPr>
                  <w:rStyle w:val="InternetLink"/>
                  <w:rFonts w:ascii="Times New Roman;Times;Serif" w:hAnsi="Times New Roman;Times;Serif"/>
                  <w:sz w:val="20"/>
                </w:rPr>
                <w:t>Taxation</w:t>
              </w:r>
            </w:hyperlink>
          </w:p>
        </w:tc>
        <w:tc>
          <w:tcPr>
            <w:tcW w:w="515" w:type="dxa"/>
            <w:tcBorders/>
            <w:shd w:fill="FFFFFF" w:val="clear"/>
            <w:vAlign w:val="center"/>
          </w:tcPr>
          <w:p>
            <w:pPr>
              <w:pStyle w:val="TableContents"/>
              <w:bidi w:val="0"/>
              <w:spacing w:before="0" w:after="283"/>
              <w:jc w:val="center"/>
              <w:rPr/>
            </w:pPr>
            <w:hyperlink w:anchor="i_018">
              <w:r>
                <w:rPr>
                  <w:rStyle w:val="InternetLink"/>
                  <w:rFonts w:ascii="Times New Roman;Times;Serif" w:hAnsi="Times New Roman;Times;Serif"/>
                  <w:sz w:val="20"/>
                </w:rPr>
                <w:t>71</w:t>
              </w:r>
            </w:hyperlink>
          </w:p>
        </w:tc>
      </w:tr>
      <w:tr>
        <w:trPr/>
        <w:tc>
          <w:tcPr>
            <w:tcW w:w="4685" w:type="dxa"/>
            <w:tcBorders/>
            <w:shd w:fill="CCEEFF" w:val="clear"/>
            <w:vAlign w:val="center"/>
          </w:tcPr>
          <w:p>
            <w:pPr>
              <w:pStyle w:val="TableContents"/>
              <w:bidi w:val="0"/>
              <w:spacing w:before="0" w:after="283"/>
              <w:jc w:val="left"/>
              <w:rPr/>
            </w:pPr>
            <w:hyperlink w:anchor="i_019">
              <w:r>
                <w:rPr>
                  <w:rStyle w:val="InternetLink"/>
                  <w:rFonts w:ascii="Times New Roman;Times;Serif" w:hAnsi="Times New Roman;Times;Serif"/>
                  <w:sz w:val="20"/>
                </w:rPr>
                <w:t>Expenses</w:t>
              </w:r>
            </w:hyperlink>
          </w:p>
        </w:tc>
        <w:tc>
          <w:tcPr>
            <w:tcW w:w="515" w:type="dxa"/>
            <w:tcBorders/>
            <w:shd w:fill="CCEEFF" w:val="clear"/>
            <w:vAlign w:val="center"/>
          </w:tcPr>
          <w:p>
            <w:pPr>
              <w:pStyle w:val="TableContents"/>
              <w:bidi w:val="0"/>
              <w:spacing w:before="0" w:after="283"/>
              <w:jc w:val="center"/>
              <w:rPr/>
            </w:pPr>
            <w:hyperlink w:anchor="i_019">
              <w:r>
                <w:rPr>
                  <w:rStyle w:val="InternetLink"/>
                  <w:rFonts w:ascii="Times New Roman;Times;Serif" w:hAnsi="Times New Roman;Times;Serif"/>
                  <w:sz w:val="20"/>
                </w:rPr>
                <w:t>71</w:t>
              </w:r>
            </w:hyperlink>
          </w:p>
        </w:tc>
      </w:tr>
      <w:tr>
        <w:trPr/>
        <w:tc>
          <w:tcPr>
            <w:tcW w:w="4685" w:type="dxa"/>
            <w:tcBorders/>
            <w:shd w:fill="FFFFFF" w:val="clear"/>
            <w:vAlign w:val="center"/>
          </w:tcPr>
          <w:p>
            <w:pPr>
              <w:pStyle w:val="TableContents"/>
              <w:bidi w:val="0"/>
              <w:spacing w:before="0" w:after="283"/>
              <w:jc w:val="left"/>
              <w:rPr/>
            </w:pPr>
            <w:hyperlink w:anchor="i_020">
              <w:r>
                <w:rPr>
                  <w:rStyle w:val="InternetLink"/>
                  <w:rFonts w:ascii="Times New Roman;Times;Serif" w:hAnsi="Times New Roman;Times;Serif"/>
                  <w:sz w:val="20"/>
                </w:rPr>
                <w:t>Material Contracts</w:t>
              </w:r>
            </w:hyperlink>
          </w:p>
        </w:tc>
        <w:tc>
          <w:tcPr>
            <w:tcW w:w="515" w:type="dxa"/>
            <w:tcBorders/>
            <w:shd w:fill="FFFFFF" w:val="clear"/>
            <w:vAlign w:val="center"/>
          </w:tcPr>
          <w:p>
            <w:pPr>
              <w:pStyle w:val="TableContents"/>
              <w:bidi w:val="0"/>
              <w:spacing w:before="0" w:after="283"/>
              <w:jc w:val="center"/>
              <w:rPr/>
            </w:pPr>
            <w:hyperlink w:anchor="i_020">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1">
              <w:r>
                <w:rPr>
                  <w:rStyle w:val="InternetLink"/>
                  <w:rFonts w:ascii="Times New Roman;Times;Serif" w:hAnsi="Times New Roman;Times;Serif"/>
                  <w:sz w:val="20"/>
                </w:rPr>
                <w:t>Material Changes</w:t>
              </w:r>
            </w:hyperlink>
          </w:p>
        </w:tc>
        <w:tc>
          <w:tcPr>
            <w:tcW w:w="515" w:type="dxa"/>
            <w:tcBorders/>
            <w:shd w:fill="CCEEFF" w:val="clear"/>
            <w:vAlign w:val="center"/>
          </w:tcPr>
          <w:p>
            <w:pPr>
              <w:pStyle w:val="TableContents"/>
              <w:bidi w:val="0"/>
              <w:spacing w:before="0" w:after="283"/>
              <w:jc w:val="center"/>
              <w:rPr/>
            </w:pPr>
            <w:hyperlink w:anchor="i_021">
              <w:r>
                <w:rPr>
                  <w:rStyle w:val="InternetLink"/>
                  <w:rFonts w:ascii="Times New Roman;Times;Serif" w:hAnsi="Times New Roman;Times;Serif"/>
                  <w:sz w:val="20"/>
                </w:rPr>
                <w:t>72</w:t>
              </w:r>
            </w:hyperlink>
          </w:p>
        </w:tc>
      </w:tr>
      <w:tr>
        <w:trPr/>
        <w:tc>
          <w:tcPr>
            <w:tcW w:w="4685" w:type="dxa"/>
            <w:tcBorders/>
            <w:shd w:fill="FFFFFF" w:val="clear"/>
            <w:vAlign w:val="center"/>
          </w:tcPr>
          <w:p>
            <w:pPr>
              <w:pStyle w:val="TableContents"/>
              <w:bidi w:val="0"/>
              <w:spacing w:before="0" w:after="283"/>
              <w:jc w:val="left"/>
              <w:rPr/>
            </w:pPr>
            <w:hyperlink w:anchor="i_022">
              <w:r>
                <w:rPr>
                  <w:rStyle w:val="InternetLink"/>
                  <w:rFonts w:ascii="Times New Roman;Times;Serif" w:hAnsi="Times New Roman;Times;Serif"/>
                  <w:sz w:val="20"/>
                </w:rPr>
                <w:t>Legal Matters</w:t>
              </w:r>
            </w:hyperlink>
          </w:p>
        </w:tc>
        <w:tc>
          <w:tcPr>
            <w:tcW w:w="515" w:type="dxa"/>
            <w:tcBorders/>
            <w:shd w:fill="FFFFFF" w:val="clear"/>
            <w:vAlign w:val="center"/>
          </w:tcPr>
          <w:p>
            <w:pPr>
              <w:pStyle w:val="TableContents"/>
              <w:bidi w:val="0"/>
              <w:spacing w:before="0" w:after="283"/>
              <w:jc w:val="center"/>
              <w:rPr/>
            </w:pPr>
            <w:hyperlink w:anchor="i_022">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3">
              <w:r>
                <w:rPr>
                  <w:rStyle w:val="InternetLink"/>
                  <w:rFonts w:ascii="Times New Roman;Times;Serif" w:hAnsi="Times New Roman;Times;Serif"/>
                  <w:sz w:val="20"/>
                </w:rPr>
                <w:t>Experts</w:t>
              </w:r>
            </w:hyperlink>
          </w:p>
        </w:tc>
        <w:tc>
          <w:tcPr>
            <w:tcW w:w="515" w:type="dxa"/>
            <w:tcBorders/>
            <w:shd w:fill="CCEEFF" w:val="clear"/>
            <w:vAlign w:val="center"/>
          </w:tcPr>
          <w:p>
            <w:pPr>
              <w:pStyle w:val="TableContents"/>
              <w:bidi w:val="0"/>
              <w:spacing w:before="0" w:after="283"/>
              <w:jc w:val="center"/>
              <w:rPr/>
            </w:pPr>
            <w:hyperlink w:anchor="i_023">
              <w:r>
                <w:rPr>
                  <w:rStyle w:val="InternetLink"/>
                  <w:rFonts w:ascii="Times New Roman;Times;Serif" w:hAnsi="Times New Roman;Times;Serif"/>
                  <w:sz w:val="20"/>
                </w:rPr>
                <w:t>72</w:t>
              </w:r>
            </w:hyperlink>
          </w:p>
        </w:tc>
      </w:tr>
      <w:tr>
        <w:trPr/>
        <w:tc>
          <w:tcPr>
            <w:tcW w:w="4685" w:type="dxa"/>
            <w:tcBorders/>
            <w:shd w:fill="FFFFFF" w:val="clear"/>
            <w:vAlign w:val="center"/>
          </w:tcPr>
          <w:p>
            <w:pPr>
              <w:pStyle w:val="TableContents"/>
              <w:bidi w:val="0"/>
              <w:spacing w:before="0" w:after="283"/>
              <w:jc w:val="left"/>
              <w:rPr/>
            </w:pPr>
            <w:hyperlink w:anchor="i_024">
              <w:r>
                <w:rPr>
                  <w:rStyle w:val="InternetLink"/>
                  <w:rFonts w:ascii="Times New Roman;Times;Serif" w:hAnsi="Times New Roman;Times;Serif"/>
                  <w:sz w:val="20"/>
                </w:rPr>
                <w:t>Incorporation of Documents by Reference</w:t>
              </w:r>
            </w:hyperlink>
          </w:p>
        </w:tc>
        <w:tc>
          <w:tcPr>
            <w:tcW w:w="515" w:type="dxa"/>
            <w:tcBorders/>
            <w:shd w:fill="FFFFFF" w:val="clear"/>
            <w:vAlign w:val="center"/>
          </w:tcPr>
          <w:p>
            <w:pPr>
              <w:pStyle w:val="TableContents"/>
              <w:bidi w:val="0"/>
              <w:spacing w:before="0" w:after="283"/>
              <w:jc w:val="center"/>
              <w:rPr/>
            </w:pPr>
            <w:hyperlink w:anchor="i_024">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5">
              <w:r>
                <w:rPr>
                  <w:rStyle w:val="InternetLink"/>
                  <w:rFonts w:ascii="Times New Roman;Times;Serif" w:hAnsi="Times New Roman;Times;Serif"/>
                  <w:sz w:val="20"/>
                </w:rPr>
                <w:t>Where You Can Find Additional Information</w:t>
              </w:r>
            </w:hyperlink>
          </w:p>
        </w:tc>
        <w:tc>
          <w:tcPr>
            <w:tcW w:w="515" w:type="dxa"/>
            <w:tcBorders/>
            <w:shd w:fill="CCEEFF" w:val="clear"/>
            <w:vAlign w:val="center"/>
          </w:tcPr>
          <w:p>
            <w:pPr>
              <w:pStyle w:val="TableContents"/>
              <w:bidi w:val="0"/>
              <w:spacing w:before="0" w:after="283"/>
              <w:jc w:val="center"/>
              <w:rPr/>
            </w:pPr>
            <w:hyperlink w:anchor="i_025">
              <w:r>
                <w:rPr>
                  <w:rStyle w:val="InternetLink"/>
                  <w:rFonts w:ascii="Times New Roman;Times;Serif" w:hAnsi="Times New Roman;Times;Serif"/>
                  <w:sz w:val="20"/>
                </w:rPr>
                <w:t>73</w:t>
              </w:r>
            </w:hyperlink>
          </w:p>
        </w:tc>
      </w:tr>
      <w:tr>
        <w:trPr/>
        <w:tc>
          <w:tcPr>
            <w:tcW w:w="4685" w:type="dxa"/>
            <w:tcBorders/>
            <w:shd w:fill="FFFFFF" w:val="clear"/>
            <w:vAlign w:val="center"/>
          </w:tcPr>
          <w:p>
            <w:pPr>
              <w:pStyle w:val="TableContents"/>
              <w:bidi w:val="0"/>
              <w:spacing w:before="0" w:after="283"/>
              <w:jc w:val="left"/>
              <w:rPr/>
            </w:pPr>
            <w:hyperlink w:anchor="i_026">
              <w:r>
                <w:rPr>
                  <w:rStyle w:val="InternetLink"/>
                  <w:rFonts w:ascii="Times New Roman;Times;Serif" w:hAnsi="Times New Roman;Times;Serif"/>
                  <w:sz w:val="20"/>
                </w:rPr>
                <w:t>Enforceability of Civil Liabilities</w:t>
              </w:r>
            </w:hyperlink>
          </w:p>
        </w:tc>
        <w:tc>
          <w:tcPr>
            <w:tcW w:w="515" w:type="dxa"/>
            <w:tcBorders/>
            <w:shd w:fill="FFFFFF" w:val="clear"/>
            <w:vAlign w:val="center"/>
          </w:tcPr>
          <w:p>
            <w:pPr>
              <w:pStyle w:val="TableContents"/>
              <w:bidi w:val="0"/>
              <w:spacing w:before="0" w:after="283"/>
              <w:jc w:val="center"/>
              <w:rPr/>
            </w:pPr>
            <w:hyperlink w:anchor="i_026">
              <w:r>
                <w:rPr>
                  <w:rStyle w:val="InternetLink"/>
                  <w:rFonts w:ascii="Times New Roman;Times;Serif" w:hAnsi="Times New Roman;Times;Serif"/>
                  <w:sz w:val="20"/>
                </w:rPr>
                <w:t>74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2023, we filed with the U.S. Securities and Exchange Commission (the “SEC”) a registration statement on Form F-3 (File No. 333-273720), as amended, utilizing a shelf registration process relating to the securities described in this prospectus supplement, which registration statement was declared effective by the SEC on September 26, 2023. Under this shelf registration process, we may, from time to time, in one or more offerings, offer and sell up to US$100,000,000 of any combination, together or separately, of our ordinary shares, debt securities, warrants, rights, and units, or any combination thereof as described in the accompanying prospectus. We are selling Ordinary Shares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and also adds to and updates information contained in the accompanying prospectus and the documents incorporated by reference into the prospectus supplement. The second part, the accompanying prospectus, gives more general information, some of which does not apply to this offering. You should read this entire prospectus supplement as well as the accompanying prospectus and the documents incorporated by reference that are described under “Incorporation of Documents by Reference” and “Where You Can Find Additional Information” in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description of the offering varies between this prospectus supplement and the accompanying prospectus, you should rely on the information contained in this prospectus supplement. However, if any statement in one of these documents is inconsistent with a statement in another document having a later date—for example, a document incorporated by reference in this prospectus supplement and the accompanying prospectus—the statement in the document having the later date modifies or supersedes the earlier statement. Except as specifically stated, we are not incorporating by reference any information submitted under any Report of Foreign Private Issuer on Form 6-K into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or deemed to be incorporated by reference, into this prospectus supplement or the accompanying prospectus will be deemed to be modified or superseded for purposes of this prospectus supplement or the accompanying prospectus to the extent that a statement contained herein, therein or in any other subsequently filed document which also is incorporated by reference in this prospectus supplement or the accompanying prospectus modifies or supersedes that statement. Any such statement so modified or superseded will not be deemed, except as so modified or superseded, to constitute a part of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unless you are a party to such agreement. Moreover, such representations, warranties, or covenants were accurate only as of the date when made or expressly referenced therein. Accordingly, such representations, warranties, and covenants should not be relied on as accurately representing the current state of our affairs unless you are a party to such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supplement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 Rui Tai BVI” are to AnRuiTai Investment Limited, a BVI business company incorporated in the BVI with limited liability in November 2018, owned as to 90% by Ms. Wenxiu Zhong and 10% by Mr. Sheng Gong;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0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BVI” are to Baosheng Media Group Limited, a BVI business company incorporated with limited liability under the laws of the BVI;</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Group” are to Baosheng Media Group Holdings Limited, an exempted company with limited liability incorporated under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Hong Kong” are to Baosheng Group’s wholly owned subsidiary, Baosheng Media Group (Hong Kong) Holdings Limited, a Hong Kong company with limited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Network” are to Beijing Baosheng Network Technology Co., Ltd.,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Baosheng Technology” are to Baosheng Technology (Horgos)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Beijing Baosheng” are to Beijing Baosheng Technology Company Limited,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Beijing Xunhuo” are to Beijing Xunhuo E-commerce Co., Ltd., a limited liability company established in the PRC and a direct wholly-owned subsidiary of Baosheng Network;</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95"/>
        <w:gridCol w:w="3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BVI” are to the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are to the People’s Republic of China, including the special administrative regions of Hong Kong and Macau and excluding Taiwan for the purposes of this prospectus supplement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Horgos Baosheng” are to Horgos Baosheng Advertising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Kashi Baosheng” are to Kashi Baosheng Information Technology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95"/>
        <w:gridCol w:w="7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5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subsidiaries” or “the subsidiaries” are to the Company’s direct and indirect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operating entities” are to the Company’s subsidiaries with business activities, namely Beijing Baosheng, Horgos Baosheng, Baosheng Technology, Kashi Baosheng, Baosheng Network and Beijing Xunhuo;</w:t>
            </w:r>
          </w:p>
        </w:tc>
      </w:tr>
    </w:tbl>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5"/>
        <w:gridCol w:w="95"/>
        <w:gridCol w:w="9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3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“Shares,” or “Ordinary Shares” are to the ordinary shares of the Company, par value US$0.0096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“us,” or the “Company” are to Baosheng Group and when describing the Company’s consolidated financial information, also include the Company’s 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certain technical terms used in this prospectus supplement, references to:</w:t>
      </w:r>
    </w:p>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95"/>
        <w:gridCol w:w="8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8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 inventory” are to the space available to advertisers on digital platforms in the online marketing industry;</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95"/>
        <w:gridCol w:w="24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4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 are to an advertisement;</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95"/>
        <w:gridCol w:w="10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CPA” are to cost per acquisition, an online advertising pricing model where the advertiser pays for a specified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CPC” are to cost per click, an online advertising pricing model where an advertiser pays a media (typically a search engine, website owner, or a network of websites) when the ad is clicked;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CPM” are to cost per mille, an online advertising pricing model where an advertiser pays for one thousand views or clicks of an advertisement;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CPT” are to cost per time, an online advertising pricing model where an advertiser pays for an advertisement to be placed for a set amount of time;</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9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9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feed” are to an internet service in which updates from electronic information sources are presented in a continuous stream;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our SEC filings that are incorporated by reference into this prospectus supplement contain or incorporate by reference forward-looking statements within the meaning of Section 27A of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prospectus supplement, the accompanying prospectus, and our SEC filings that are incorporated by reference into this prospectus supplement. These forward-looking statements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“Item 3. Key Information—3.D. Risk Factors” in our annual report on Form 20-F for the fiscal year ended December 31, 2025 and the section entitled “Risk Factors” beginning on page S-21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uncertainties include factors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assumptions about our future financial and operating results, including revenues, income, expenditures, cash balances and other financial items;</w:t>
            </w:r>
          </w:p>
        </w:tc>
      </w:tr>
    </w:tbl>
    <w:tbl>
      <w:tblPr>
        <w:tblW w:w="7435" w:type="dxa"/>
        <w:jc w:val="left"/>
        <w:tblInd w:w="0" w:type="dxa"/>
        <w:tblLayout w:type="fixed"/>
        <w:tblCellMar>
          <w:top w:w="0" w:type="dxa"/>
          <w:left w:w="0" w:type="dxa"/>
          <w:bottom w:w="0" w:type="dxa"/>
          <w:right w:w="0" w:type="dxa"/>
        </w:tblCellMar>
      </w:tblPr>
      <w:tblGrid>
        <w:gridCol w:w="75"/>
        <w:gridCol w:w="95"/>
        <w:gridCol w:w="726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execute our growth, and expansion, including our ability to meet our goals;</w:t>
            </w:r>
          </w:p>
        </w:tc>
      </w:tr>
    </w:tbl>
    <w:tbl>
      <w:tblPr>
        <w:tblW w:w="4540" w:type="dxa"/>
        <w:jc w:val="left"/>
        <w:tblInd w:w="0" w:type="dxa"/>
        <w:tblLayout w:type="fixed"/>
        <w:tblCellMar>
          <w:top w:w="0" w:type="dxa"/>
          <w:left w:w="0" w:type="dxa"/>
          <w:bottom w:w="0" w:type="dxa"/>
          <w:right w:w="0" w:type="dxa"/>
        </w:tblCellMar>
      </w:tblPr>
      <w:tblGrid>
        <w:gridCol w:w="75"/>
        <w:gridCol w:w="95"/>
        <w:gridCol w:w="437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and future economic and political conditions;</w:t>
            </w:r>
          </w:p>
        </w:tc>
      </w:tr>
    </w:tbl>
    <w:tbl>
      <w:tblPr>
        <w:tblW w:w="6490" w:type="dxa"/>
        <w:jc w:val="left"/>
        <w:tblInd w:w="0" w:type="dxa"/>
        <w:tblLayout w:type="fixed"/>
        <w:tblCellMar>
          <w:top w:w="0" w:type="dxa"/>
          <w:left w:w="0" w:type="dxa"/>
          <w:bottom w:w="0" w:type="dxa"/>
          <w:right w:w="0" w:type="dxa"/>
        </w:tblCellMar>
      </w:tblPr>
      <w:tblGrid>
        <w:gridCol w:w="75"/>
        <w:gridCol w:w="95"/>
        <w:gridCol w:w="632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compete in the highly-competitive advertising service industry;</w:t>
            </w:r>
          </w:p>
        </w:tc>
      </w:tr>
    </w:tbl>
    <w:tbl>
      <w:tblPr>
        <w:tblW w:w="7975" w:type="dxa"/>
        <w:jc w:val="left"/>
        <w:tblInd w:w="0" w:type="dxa"/>
        <w:tblLayout w:type="fixed"/>
        <w:tblCellMar>
          <w:top w:w="0" w:type="dxa"/>
          <w:left w:w="0" w:type="dxa"/>
          <w:bottom w:w="0" w:type="dxa"/>
          <w:right w:w="0" w:type="dxa"/>
        </w:tblCellMar>
      </w:tblPr>
      <w:tblGrid>
        <w:gridCol w:w="75"/>
        <w:gridCol w:w="95"/>
        <w:gridCol w:w="780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capital requirements and our ability to raise any additional financing which we may require;</w:t>
            </w:r>
          </w:p>
        </w:tc>
      </w:tr>
    </w:tbl>
    <w:tbl>
      <w:tblPr>
        <w:tblW w:w="5935" w:type="dxa"/>
        <w:jc w:val="left"/>
        <w:tblInd w:w="0" w:type="dxa"/>
        <w:tblLayout w:type="fixed"/>
        <w:tblCellMar>
          <w:top w:w="0" w:type="dxa"/>
          <w:left w:w="0" w:type="dxa"/>
          <w:bottom w:w="0" w:type="dxa"/>
          <w:right w:w="0" w:type="dxa"/>
        </w:tblCellMar>
      </w:tblPr>
      <w:tblGrid>
        <w:gridCol w:w="75"/>
        <w:gridCol w:w="95"/>
        <w:gridCol w:w="576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attract clients and further enhance our brand recognition;</w:t>
            </w:r>
          </w:p>
        </w:tc>
      </w:tr>
    </w:tbl>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hire and retain qualified management personnel and key employees in order to enable us to develop our business;</w:t>
            </w:r>
          </w:p>
        </w:tc>
      </w:tr>
    </w:tbl>
    <w:tbl>
      <w:tblPr>
        <w:tblW w:w="4945" w:type="dxa"/>
        <w:jc w:val="left"/>
        <w:tblInd w:w="0" w:type="dxa"/>
        <w:tblLayout w:type="fixed"/>
        <w:tblCellMar>
          <w:top w:w="0" w:type="dxa"/>
          <w:left w:w="0" w:type="dxa"/>
          <w:bottom w:w="0" w:type="dxa"/>
          <w:right w:w="0" w:type="dxa"/>
        </w:tblCellMar>
      </w:tblPr>
      <w:tblGrid>
        <w:gridCol w:w="75"/>
        <w:gridCol w:w="95"/>
        <w:gridCol w:w="477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trends and competition in the advertising service industry;</w:t>
            </w:r>
          </w:p>
        </w:tc>
      </w:tr>
    </w:tbl>
    <w:tbl>
      <w:tblPr>
        <w:tblW w:w="4765" w:type="dxa"/>
        <w:jc w:val="left"/>
        <w:tblInd w:w="0" w:type="dxa"/>
        <w:tblLayout w:type="fixed"/>
        <w:tblCellMar>
          <w:top w:w="0" w:type="dxa"/>
          <w:left w:w="0" w:type="dxa"/>
          <w:bottom w:w="0" w:type="dxa"/>
          <w:right w:w="0" w:type="dxa"/>
        </w:tblCellMar>
      </w:tblPr>
      <w:tblGrid>
        <w:gridCol w:w="75"/>
        <w:gridCol w:w="95"/>
        <w:gridCol w:w="45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future development of the COVID-19 pandemic; and</w:t>
            </w:r>
          </w:p>
        </w:tc>
      </w:tr>
    </w:tbl>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sz w:val="20"/>
              </w:rPr>
            </w:pPr>
            <w:r>
              <w:rPr>
                <w:rFonts w:ascii="Times New Roman;Times;Serif" w:hAnsi="Times New Roman;Times;Serif"/>
                <w:sz w:val="20"/>
              </w:rPr>
              <w:t xml:space="preserve">other assumptions described in </w:t>
            </w:r>
            <w:r>
              <w:rPr>
                <w:sz w:val="20"/>
              </w:rPr>
              <w:t>this prospectus supplement, the accompanying prospectus, and our SEC filings that are incorporated by reference into this prospectus supplement underlying or relating to any forward-looking statements.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prospectus supplement, the accompanying prospectus, and our SEC filings that are incorporated by reference into this prospectus supplement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prospectus supplement, the accompanying prospectus, and our SEC filings that are incorporated by reference into this prospectus supplement and the documents that we refer to with the understanding that our actual future results may be materially different from, or worse than, what we expect.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our SEC filings that are incorporated by reference into this prospectus supplement contains certain data and information that we obtained from various government and private publications. Statistical data in these publications also include projections based on a number of assumptions. The advertising service industry may not grow at the rate projected by market data, or at all. Failure of this market to grow at the projected rate may have a material and adverse effect on our business and the market price of the Ordinary Shares.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prospectus supplement, the accompanying prospectus, and our SEC filings that are incorporated by reference into this prospectus supplement relate only to events or information as of the date on which the statements are made.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supplement, the accompanying prospectus, and our SEC filings that are incorporated by reference into this prospectus supplement completely and with the understanding that our actual future results may be materially different from what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PROSPECTUS SUPPLEMENT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highlights, and should be read in conjunction with, the more detailed information contained elsewhere in this prospectus supplement, the accompanying prospectus, and the documents incorporated therein by reference. You should read carefully the entire documents, including our financial statements and related notes, to understand our business, the Ordinary Shares, and the other considerations that are important to your decision to invest in our securities. You should pay special attention to the “Risk Factors” sections beginning on page S-21 of this prospectus supplement and on page 25 of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incorporated in the Cayman Islands and we are not a Chinese operating company. As a holding company with no operations of our own, our operations are conducted in China through the operating entities, and this structure involves unique risks to investors. Holders of our Ordinary Shares will not directly hold any equity interests in the operating entities. The Chinese regulatory authorities could disallow our corporate structure, which could result in a material change in our operations and the value of our Ordinary Shares could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adopted a VIE structure. The following diagram illustrates our current corporate structure, which includes our significant subsidiaries as of the date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6781800" cy="4905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81800" cy="49053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each shareholder’s ownership, please refer to the beneficial ownership table in “Item 6. Directors, Senior Management and Employees—6.E. Share Ownership” in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Permissions Required from PRC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being based in China, which could cause the value of our securities to become worthless. PRC laws and regulations governing our current business operations are sometimes vague and uncertain, and as a result these risks may result in material changes in the operations of the PRC subsidiaries, significant depreciation of the value of our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supplement, neither we nor our subsidiaries have been involved in any investigations on cybersecurity review initiated by any PRC regulatory authority, nor has any of them received any inquiry, notice, or sanction. In the opinion of our PRC counsel, ANLI Partners Law Offices,LLP(Tianjin) , the current and effective "Measures for Cybersecurity Review" that took effect on February 15,2022, the "Provisions on Promoting and Regulating Cross-border Data Flow" that took effect on March 22,2024, and the "Regulations on Network Data Security Management" that took effect on January 1, 2025—particularly Article 5(4) of the "Provisions on Promoting and Regulating Cross-border Data Flow" —which explicitly states that data processors other than operators of critical information infrastructure are exempt from submitting a data outbound security assessment if they have cumulatively provided personal information (excluding sensitive personal information) to overseas entities totaling fewer than 100,000 records since January 1 of the current year. Additionally, the regulations stipulate that cybersecurity reviews or data outbound security assessments are generally not required when processing personal information for fewer than 1 million individuals, operating non-critical information infrastructure, or not handling important data. Based on these legal standards, we have conducted internal self-assessment and confirms that the total volume of personal information we hold does not exceed 1 million and is unlikely to reach this threshold in the near future; we do not operate as a critical information infrastructure entity, do not collect or process important data, and have cumulatively provided less than 100,000 personal records to overseas entities since January 1 of the current year without involving sensitive personal information. Therefore, we believe we meet all the aforementioned exemption criteria and are not required to submit a data outbound security assessment to the Cyberspace Administration of China. It should be specifically noted that the aforementioned conclusion will immediately become invalid under any of the following circumstances, requiring us to conduct a re-evaluation and potentially subjecting it to relevant reviews: (1) the total volume of processed personal information exceeds 1 million; (2) being designated by the competent authorities or publicly identified as an operator of critical information infrastructure or a major data processor; (3) from January 1 of the current year onward, the cumulative amount of personal information provided overseas (excluding sensitive personal information) reaches or exceeds 100,000 records, or the amount of sensitive personal information provided reaches or exceeds 10,000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Cyberspace Administration of China issued the "Provisions on Promoting and Regulating Cross-Border Data Flow" (CAC Order No. 16), which took effect immediately upon issuance. The Provisions provide detailed specifications for implementing data outbound mechanisms, including security assessments for data transfers abroad, standard contracts for personal information transfers abroad, and personal information protection certifications. Specifically, it stipulates that critical information infrastructure operators providing personal information or important data overseas, or data processors other than critical information infrastructure operators transferring important data overseas, or those having cumulatively transferred personal information (excluding sensitive personal information) involving more than 1 million individuals or sensitive personal information involving more than 10,000 individuals overseas since January 1 of the same year, shall submit a security assessment application for data outbound 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State Council promulgated the Regulations on Network Data Security Management (State Council Order No. 790), which came into effect on January 1, 2025. The Regulations aim to standardize network data processing activities, safeguard network data security, protect the legitimate rights and interests of individuals and organizations, and uphold national security and public interests. It serves as a key supporting administrative regulation for the Cybersecurity Law, the Data Security Law, and the Personal Information Protection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PRC government also exerts more control over offerings conducted overseas and foreign investment in China-based issuers.</w:t>
      </w:r>
      <w:r>
        <w:rPr>
          <w:rFonts w:ascii="Times New Roman;Times;Serif" w:hAnsi="Times New Roman;Times;Serif"/>
          <w:b w:val="false"/>
          <w:i w:val="false"/>
          <w:caps w:val="false"/>
          <w:smallCaps w:val="false"/>
          <w:sz w:val="20"/>
        </w:rPr>
        <w:t> Furthermore, on February 17, 2023, the CSRC released the Trial Measures and five supporting guidelines, which took effect on March 31, 2023. Pursuant to the Trial Measures,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On the same day, the CSRC also held a press conference for the release of the Trial Measures and issued the CSRC Notice, which, among others, clarifies that PRC domestic companies that have already been listed overseas before the effective date of the Trial Measures, which is March 31, 2023, shall be deemed as Existing Issuers, and Existing Issuers are not required to complete the filing procedures with the CSRC immediately, and they shall be required to file with the CSRC for any subsequent offerings. Based on the foregoing, we are an Existing Issuer, and is required to file with the CSRC for any subsequent offerings within three (3) working days after the completion of each offering. Therefore, we are required to go through filing procedures through our major operating entity incorporated in the PRC with the CSRC within three (3) working days after the completion of this offering pursuant to this prospectus supplement, and prepare a summary report to the CSRC after the completion of all offerings under the accompanying prospectus. We intend to comply with the Trial Measures for this offering and any subsequent offerings under the registration statement on Form F-3 (Registration No. 333-273720). </w:t>
      </w:r>
      <w:r>
        <w:rPr>
          <w:rFonts w:ascii="Times New Roman;Times;Serif" w:hAnsi="Times New Roman;Times;Serif"/>
          <w:b w:val="false"/>
          <w:i w:val="false"/>
          <w:caps w:val="false"/>
          <w:smallCaps w:val="false"/>
          <w:sz w:val="20"/>
          <w:shd w:fill="FFFFFF" w:val="clear"/>
        </w:rPr>
        <w:t xml:space="preserve">Other than the CSRC filing procedures  we are required to make within three working days after the completion of this offering and any additional offerings made pursuant to accompanying prospectus and applicable prospectus supplements, we and our PRC subsidiaries, as of the </w:t>
      </w:r>
      <w:r>
        <w:rPr>
          <w:rFonts w:ascii="Times New Roman;Times;Serif" w:hAnsi="Times New Roman;Times;Serif"/>
          <w:b w:val="false"/>
          <w:i w:val="false"/>
          <w:caps w:val="false"/>
          <w:smallCaps w:val="false"/>
          <w:sz w:val="20"/>
        </w:rPr>
        <w:t>date of this prospectus supplement,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the accompanying prospectus and applicable prospectus supplements. See “Risk Factors—Risks Related to Doing Business in China—The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 on pages 27 through 29 of the accompanying prospectus and page 24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2008), the anti-monopoly guidelines for various industries, and the Detailed Rules for the Implementation of the Fair Competition Review System; and (iii) expanding the anti-monopoly law enforcement targeting Internet companies and large enterprises. As of the date of this prospectus supplement, the Chinese government’s recent statements and regulatory actions related to anti-monopoly concerns have not impacted our or our subsidiaries’ ability to conduct business, our ability to accept foreign investments or issue our securities to foreign investors because neither we nor our subsidiaries engage in monopolistic behaviors that are subject to these statements or regulatory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and our subsidiaries have received from the PRC authorities all requisite licenses, permissions, and approvals needed to engage in the businesses currently conducted in the PRC, which solely include the business licenses that authorize the scope of business operations, and no permission or approval has been denied. As of the date of this prospectus supplement, each of our PRC subsidiaries has obtained its business license to engage in the respective business currently being conducted by it in the PRC. For us to offer the securities pursuant to this prospectus supplement and the accompanying prospectus to foreign investors, we are required to submit filings with the CSRC within three (3) working days after completion of this offering. For details regarding this approval requirement, see the above discussion under —Permissions Required from PRC Authorities.” However, we are not required to obtain any permissions or approvals to operate our business or to offer securities being registered hereunder to foreign investors, and no permission or approval has been denied. However, we cannot assure you that we will be able to receive clearance of any compliance requirements imposed on us in a timely manner, or at all. Any failure to fully comply with such compliance requirements may cause our PRC subsidiaries to be unable to conduct their businesses or operations in the PRC, subject them to fines, business suspension, or other sanctions.  If we and/or our subsidiaries do not receive or maintain the approvals, or we inadvertently conclude that such approvals are not required, or applicable laws, regulations, or interpretations change such that we and/or our subsidiaries are required to obtain approval in the future, we may be subject to an investigation by competent regulators, fines or penalties, ordered to suspend our relevant business and rectify, and/or prohibited from engaging in the relevant business, and these risks could result in a material adverse change in our operations, significantly limit or completely hinder our ability to offer or continue to offer securities to investors, or cause such securities to significantly decline in value or become worthless. See “Risk Factors—Risks Related to Doing Business in China” of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Ordinary Shares may be prohibited from trading on a national exchange or over-the-counter under the HFCA Act if the PCAOB is unable to inspect our auditors for three consecutive years beginning in 2021. Our current auditor, GGF CPA LTD (“GGF ”), (fka Guangzhou Good Faith CPA LTD), the independent registered public accounting firm that issues the audit report included in the annual report on Form 20-F of the fiscal year of December 31, 2025, as a firm registered with the PCAOB (PCAOB ID:2729), is subject to laws in the U.S. pursuant to which the PCAOB conducts regular inspections to assess its compliance with the applicable professional standards. GGF, whose audit report is included in this report, is headquartered in Guangzhou, China. While our auditor is based in the PRC and is registered with PCAOB and subject to PCAOB inspection, in the event it is later determined that the PCAOB is unable to inspect or investigate completely the Company’s auditor because of a position taken by an authority in a foreign jurisdiction, then such lack of inspection could cause trading of our securities to be prohibited under the HFCA Act, and ultimately result in a determination by a securities exchange to delist the Company’s securities. The PCAOB continues to demand complete access in mainland China and Hong Kong moving forward and resumed regular inspections in 2023 and beyond, as well as to continue pursuing ongoing investigations and initiate new investigations as needed. The PCAOB has also indicated that it will act immediately to consider the need to issue new determinations with the HFCA Act, if needed. See “Risk Factors—Risks Related to Doing Business in China—Our Ordinary Shares may be delisted and prohibited from being traded under the Holding Foreign Companies Accountable Act if the PCAOB is unable to inspect our auditors. The delisting and the cessation of trading of our Ordinary Shares, or the treat of their being delisted and prohibited from being traded, may materially and adversely affect the value of your investment. Additionally, any inability of the PCAOB to conduct inspections deprives our investors with the benefits of such inspections.” on page 35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 cash management policy in place that dictate how funds are transferred between us and our subsidiaries, or investors. We are a holding company, and we may rely on dividends and other distributions on equity paid by our PRC subsidiaries for our cash and financing requirements, including the furnishing of funds necessary to pay dividends and other cash distributions to our shareholders or to service any debt we may incur. If any of our PRC subsidiaries incurs debt on its own behalf in the future, the instruments governing such debt may restrict their ability to pay dividends to us. There have not been any such dividends or other distributions from our PRC subsidiaries to our subsidiaries located outside of China, as of the date of this prospectus supplement. In addition, as of the date of this prospectus supplement, none of our subsidiaries have ever issued any dividends or distributions to us or their respective shareholders outside of China, and neither we nor any of our subsidiaries have ever paid dividends or made distributions to U.S. investors. As of the date of this prospectus supplement, neither we nor any of our subsidiaries have ever paid dividends or made distributions to U.S. investors. Other than the following transactions, no cash transfers have occurred among us and our subsidiaries: (i) our Hong Kong subsidiary, Baosheng Hong Kong, received cash of $38.3 million from us, which represented proceeds raised in the initial public offering of our Ordinary Shares in February 2021, and the private placement of our Ordinary Shares and warrants in March 2021, (ii) on March 16, 2021, Baosheng Hong Kong transferred cash of $6 million, in the form of shareholder loans, to its wholly owned subsidiary, Beijing Baosheng, (iii) in April 2021 and August 2021, Baosheng Hong Kong transferred cash in the aggregate of $30.79 million, in the form of capital contributions, to its wholly owned subsidiary, Baosheng Network and (iv) in 2023, Baosheng Hong Kong transferred cash in the aggregate of $350,000 to the Company. In the future, cash proceeds raised from overseas financing activities may be transferred by us to our PRC subsidiaries by means of capital contributions or shareholder loans, as the case may be. Notwithstanding the recent legal proceedings of the Group, described more particularly under “Item 4. Information on the Company—B. Business Overview—Legal Proceedings” in our annual report on Form 20-F for the fiscal year ended December 31, 2025, we do not expect that the court’s ruling will impact the cash transferring through the organization. See “Item 18. Financial Statements” starting on page F-1 in our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 See “Risk Factors—Risks Related to Doing Business in China—We may rely on dividends paid by our subsidiaries for our cash needs, and any limitation on the ability of our subsidiaries to make payments to us could have a material adverse effect on our ability to conduct business” on pages 34 and 35 of the accompanying prospectus and page 30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result, any restriction on currency exchange may limit the ability of our PRC operating subsidiaries to use their potential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“Risk Factors—Risks Related to Doing Business in China—We may rely on dividends paid by our subsidiaries for our cash needs, and any limitation on the ability of our subsidiaries to make payments to us could have a material adverse effect on our ability to conduct business” on pages 34 and 35 of the accompanying prospectus and page 30 of our annual report on Form 20-F for the fiscal year ended December 31, 2025 for a detailed discussion of the Chinese legal restrictions on the payment of dividends and our ability to transfer cash within our group. In addition, holders of our Ordinary Shares may potentially be subject to Chinese taxes on dividends paid by us in the event we are deemed a Chinese resident enterprise for Chinese tax purposes. See “Risk Factors—Risks Related to Doing Business in China—You may be subject to PRC income tax on dividends from us or on any gain realized on the transfer of our Ordinary Shares” on page 36 of the accompanying prospectus and page 28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See “Risk Factors—Risks Related to Doing Business in China—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on page 34 of the accompanying prospectus and page 30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are an online marketing solution provider based in China. We are dedicated to helping our advertiser clients manage their online marketing activities with a view to achieving their business goals. We advise advertisers on online marketing strategies, offer value-added advertising optimization services and facilitate the deployment of online ads of various forms such as search ads, in-feed ads, mobile app ads and social media marketing ads. At the same time, as the authorized agency of some popular online media, such as Super Huichuan (</w:t>
      </w:r>
      <w:r>
        <w:rPr>
          <w:rFonts w:eastAsia="Times New Roman;Times;Serif"/>
          <w:b w:val="false"/>
          <w:i w:val="false"/>
          <w:caps w:val="false"/>
          <w:smallCaps w:val="false"/>
          <w:sz w:val="20"/>
        </w:rPr>
        <w:t>超级汇川</w:t>
      </w:r>
      <w:r>
        <w:rPr>
          <w:rFonts w:ascii="Times New Roman;Times;Serif" w:hAnsi="Times New Roman;Times;Serif"/>
          <w:b w:val="false"/>
          <w:i w:val="false"/>
          <w:caps w:val="false"/>
          <w:smallCaps w:val="false"/>
          <w:sz w:val="20"/>
        </w:rPr>
        <w:t>), we help online media procure advertisers to buy their ad inventory and facilitate ad deployment on their advertising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Relying on our management’s extensive industry experience, deep industry insights and well-established network of media resources, we have grown rapidly from a start-up online marketing agency founded in 2014 to a multi-channel online marketing solution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help advertisers formulate their online advertising strategies, optimize their ads and run their ads on suitable online advertising channels with a view to achieving their business goals. We have built a broad and diverse advertiser base across various industries, including ecommerce and online service platforms, online education, online travel agencies, financial services, online gaming, car services and other advertising agencies. We believe our ability to attract and retain these advertisers reflects the high level of our services, which is essential to our business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business value chain. </w:t>
      </w:r>
      <w:r>
        <w:rPr>
          <w:rFonts w:ascii="Times New Roman;Times;Serif" w:hAnsi="Times New Roman;Times;Serif"/>
          <w:b w:val="false"/>
          <w:i w:val="false"/>
          <w:caps w:val="false"/>
          <w:smallCaps w:val="false"/>
          <w:sz w:val="20"/>
        </w:rPr>
        <w:t>As an online advertising service provider, we regard our business values as revolving around our ability to serve the needs of two major business stakeholders: (i) advertisers; and (ii) media (or their authorized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rFonts w:ascii="Times New Roman;Times;Serif" w:hAnsi="Times New Roman;Times;Serif"/>
                <w:b/>
                <w:sz w:val="20"/>
              </w:rPr>
              <w:t>Value to advertisers</w:t>
            </w:r>
            <w:r>
              <w:rPr>
                <w:sz w:val="20"/>
              </w:rPr>
              <w:t>:  As an online marketing service provider, we connect advertisers and online media, helping advertisers to manage their online marketing activities in many ways, including, but not limited to, (i) advising on advertising strategies, budget and choice of advertising channels; (ii) procuring ad inventory; (iii) offering ad optimization services; and (iv) administrating and fine-tuning the ad placement process.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b/>
                <w:sz w:val="20"/>
              </w:rPr>
              <w:t>Value to media</w:t>
            </w:r>
            <w:r>
              <w:rPr>
                <w:sz w:val="20"/>
              </w:rPr>
              <w:t>: As an authorized agency of media, we create value to media businesses in several ways, including, but not limited to, (i) identifying advertisers to buy their ad inventory, (ii) facilitating payment arrangements with advertisers, (iii) assisting advertisers in handling ad deployment logistics with media, and (iv) engaging in other marketing and promotion activities aimed at educating and inducing advertisers to use online advertising.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advertising services. </w:t>
      </w:r>
      <w:r>
        <w:rPr>
          <w:rFonts w:ascii="Times New Roman;Times;Serif" w:hAnsi="Times New Roman;Times;Serif"/>
          <w:b w:val="false"/>
          <w:i w:val="false"/>
          <w:caps w:val="false"/>
          <w:smallCaps w:val="false"/>
          <w:sz w:val="20"/>
        </w:rPr>
        <w:t>We offer two types of advertising services, SEM services, and Non-SEM services. Our SEM services include the deployment of ranked search ads and other display search ads offered by search engine operators. Our Non-SEM services, on the other hand, include social media marketing, in-feed advertising, and mobile app advertising through deploying ads on media such as social media platforms, short-video platforms, news portals and mobile apps. The display forms of our Non-SEM ads include in-feed ads, banner ads, button ads, interstitial ads, and posts on selected social media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relevant ad formats, the corresponding pricing models generally adopted by media and our revenue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9"/>
        <w:gridCol w:w="60"/>
        <w:gridCol w:w="6125"/>
        <w:gridCol w:w="60"/>
        <w:gridCol w:w="1565"/>
        <w:gridCol w:w="60"/>
        <w:gridCol w:w="1446"/>
      </w:tblGrid>
      <w:tr>
        <w:trPr/>
        <w:tc>
          <w:tcPr>
            <w:tcW w:w="88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Type</w:t>
            </w:r>
          </w:p>
        </w:tc>
        <w:tc>
          <w:tcPr>
            <w:tcW w:w="60" w:type="dxa"/>
            <w:tcBorders/>
            <w:tcMar>
              <w:bottom w:w="0" w:type="dxa"/>
            </w:tcMar>
            <w:vAlign w:val="center"/>
          </w:tcPr>
          <w:p>
            <w:pPr>
              <w:pStyle w:val="TableContents"/>
              <w:bidi w:val="0"/>
              <w:spacing w:before="0" w:after="283"/>
              <w:jc w:val="center"/>
              <w:rPr/>
            </w:pPr>
            <w:r>
              <w:rPr/>
              <w:t> </w:t>
            </w:r>
          </w:p>
        </w:tc>
        <w:tc>
          <w:tcPr>
            <w:tcW w:w="61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Media’s </w:t>
              <w:br/>
              <w:t xml:space="preserve">principal </w:t>
              <w:br/>
              <w:t xml:space="preserve">pricing </w:t>
              <w:br/>
              <w:t>model</w:t>
            </w:r>
          </w:p>
        </w:tc>
        <w:tc>
          <w:tcPr>
            <w:tcW w:w="60" w:type="dxa"/>
            <w:tcBorders/>
            <w:tcMar>
              <w:bottom w:w="0" w:type="dxa"/>
            </w:tcMar>
            <w:vAlign w:val="center"/>
          </w:tcPr>
          <w:p>
            <w:pPr>
              <w:pStyle w:val="TableContents"/>
              <w:bidi w:val="0"/>
              <w:spacing w:before="0" w:after="283"/>
              <w:jc w:val="center"/>
              <w:rPr/>
            </w:pPr>
            <w:r>
              <w:rPr/>
              <w:t> </w:t>
            </w:r>
          </w:p>
        </w:tc>
        <w:tc>
          <w:tcPr>
            <w:tcW w:w="144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Our</w:t>
              <w:br/>
              <w:t xml:space="preserve">principal </w:t>
              <w:br/>
              <w:t>revenue</w:t>
              <w:br/>
              <w:t>model</w:t>
            </w:r>
          </w:p>
        </w:tc>
      </w:tr>
      <w:tr>
        <w:trPr/>
        <w:tc>
          <w:tcPr>
            <w:tcW w:w="10205" w:type="dxa"/>
            <w:gridSpan w:val="7"/>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SEM Services</w:t>
            </w:r>
          </w:p>
        </w:tc>
      </w:tr>
      <w:tr>
        <w:trPr/>
        <w:tc>
          <w:tcPr>
            <w:tcW w:w="8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Search ads</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Search ads are normally located at the top, or on the side of the search results page, or the related products of the search engine operators.</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Auction-based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mainly CPC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Non-auction-based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mainly CPT</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Rebates and incentives</w:t>
            </w:r>
          </w:p>
        </w:tc>
      </w:tr>
      <w:tr>
        <w:trPr/>
        <w:tc>
          <w:tcPr>
            <w:tcW w:w="10205" w:type="dxa"/>
            <w:gridSpan w:val="7"/>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Non-SEM services</w:t>
            </w:r>
          </w:p>
        </w:tc>
      </w:tr>
      <w:tr>
        <w:trPr/>
        <w:tc>
          <w:tcPr>
            <w:tcW w:w="8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In-feed ads</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In-feed ads are advertisements that match the format, appearance and function of the platform upon which they appear, typically placed on short video sharing, social media and newsfeed platforms.</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CPM, CPC</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Rebates and incentives</w:t>
            </w:r>
          </w:p>
        </w:tc>
      </w:tr>
      <w:tr>
        <w:trPr/>
        <w:tc>
          <w:tcPr>
            <w:tcW w:w="88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Mobile app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Mobile app ads are displayed in apps with various formats such as banner ads, button ads, open screen ads, and interstitial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 CPA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fees; rebates and incentives</w:t>
            </w:r>
          </w:p>
        </w:tc>
      </w:tr>
      <w:tr>
        <w:trPr/>
        <w:tc>
          <w:tcPr>
            <w:tcW w:w="88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media ads</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media ads take the form of contents appearing in the designated blogs or social media accounts with suitable target audience.</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left"/>
              <w:rPr/>
            </w:pPr>
            <w:r>
              <w:rPr>
                <w:rFonts w:ascii="Times New Roman;Times;Serif" w:hAnsi="Times New Roman;Times;Serif"/>
                <w:sz w:val="20"/>
              </w:rPr>
              <w:t>Net fees</w:t>
            </w: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billing decreased from $18.8 million in 2023 to $12.1 million in 2024, representing a decrease of 35.6%, and increased to $18.4 million in 2025. In the meantime, the media costs decreased from $17.8 million in 2023 to $11.5 million in 2024, and increased to $17.8 million in 2025, representing a decrease of 35.8% and an increase of 55.2%, respectively. Our revenue on a net basis (i.e. difference between gross billing and media costs) has decreased, in tandem our advertiser base and their advertising spend, from $0.9 million in 2023 to $0.6 million in 2024 and $0.6 million in 2025, representing a decrease of 32.3% and a decrease of 8.8%,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Ordinary Shares involves significant risks. You should carefully consider all of the information in this prospectus supplement before making an investment in our Ordinary Shares. Below please find a summary of the principal risks we face, organized under relevant headings. These risks are discussed more fully under “Item 3. Key Information—D. Risk Factors” in our annual report on Form 20-F for the fiscal year ended December 31, 2025 and in the “Risk Factors” section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Business and Industry (for a more detailed discussion, see “Item 3. Key Information—D. Risk Factors—Risks Related to Our Business and Industry” in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business and industry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rFonts w:ascii="Times New Roman;Times;Serif" w:hAnsi="Times New Roman;Times;Serif"/>
                <w:sz w:val="20"/>
              </w:rPr>
              <w:t>We are involved in legal proceedings and related disputes, and an adverse outcome—or the costs, diversion of management time, and reputational impact of defending these matters—could materially adversely affect us. See page </w:t>
            </w:r>
            <w:r>
              <w:rPr>
                <w:sz w:val="20"/>
              </w:rPr>
              <w:t>8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Legal expenses incurred in litigation increase our operational costs and adversely affect our cash flow.</w:t>
            </w:r>
            <w:r>
              <w:rPr/>
              <w:t xml:space="preserve"> </w:t>
            </w:r>
            <w:r>
              <w:rPr>
                <w:sz w:val="20"/>
              </w:rPr>
              <w:t>See page 9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Cutbacks on advertising budgets by advertisers, changes in rebate and incentive policies by the media, failure to maintain and grow our advertiser base and secure emerging media resources could all materially and adversely affect our business and financial condition. See page 9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our relationships with our business stakeholders, mainly advertisers and media, our business, results of operations, financial condition and business prospects could be materially and adversely affected. See page 10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appropriately evaluate the credit profile of our advertisers or effectively manage our credit risk associated with credit terms granted to our advertisers and/or delay in settlement of accounts receivable from our advertisers could materially and adversely impact our operating cash flow and may result in significant provisions and impairments on our accounts receivable which in turn would have a material adverse impact on our business operations, results of operation, financial condition and our business pursuits and prospects. See page 11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rFonts w:ascii="Times New Roman;Times;Serif" w:hAnsi="Times New Roman;Times;Serif"/>
                <w:sz w:val="20"/>
              </w:rPr>
              <w:t>If our advertisers delay in settlement of our accounts receivable or if we are unable to issue invoices to our advertisers on a timely basis, our business, financial condition and results of operations may be materially and adversely affected. See page 1</w:t>
            </w:r>
            <w:r>
              <w:rPr>
                <w:sz w:val="20"/>
              </w:rPr>
              <w:t>2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strive for business growth, we may continue to experience net cash outflow from operating activities, and we cannot assure you that we can maintain sufficient net cash inflows from operating activities. See page 12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in a rapidly evolving industry makes it difficult to accurately forecast our future operating results and evaluate our business prospects. See page 13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rFonts w:ascii="Times New Roman;Times;Serif" w:hAnsi="Times New Roman;Times;Serif"/>
                <w:sz w:val="20"/>
              </w:rPr>
              <w:t>Certain customers contributed to a significant percentage of our total revenue during the fiscal years 2025, 2024 and 2023, and losing one or more of them could result in a material adverse impact on our financial performance and business prospects. See page 1</w:t>
            </w:r>
            <w:r>
              <w:rPr>
                <w:sz w:val="20"/>
              </w:rPr>
              <w:t>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highly competitive online advertising service industry and we may not be able to compete successfully against existing or new competitors, which could reduce our market share and adversely affect our competitive position and financial performance. See page 14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rFonts w:ascii="Times New Roman;Times;Serif" w:hAnsi="Times New Roman;Times;Serif"/>
                <w:sz w:val="20"/>
              </w:rPr>
              <w:t>If we fail to improve our services to keep up with the rapidly changing demands, preferences, advertising trends or technologies in the online advertising industry, our revenues and growth could be adversely affected. See page 1</w:t>
            </w:r>
            <w:r>
              <w:rPr>
                <w:sz w:val="20"/>
              </w:rPr>
              <w:t>5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Limitations on the availability of data and our ability to analyze such data could significantly restrict our optimization capability and cause us to lose advertisers, which may harm our business and results of operations. See page 1</w:t>
            </w:r>
            <w:r>
              <w:rPr>
                <w:sz w:val="20"/>
              </w:rPr>
              <w:t>5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The regulatory environment of the online advertising industry is rapidly evolving. If we fail to obtain and maintain the requisite licenses and approvals as applicable to our businesses in China from time to time, our business, financial condition and results of operations may be materially and adversely affected. See page 1</w:t>
            </w:r>
            <w:r>
              <w:rPr>
                <w:sz w:val="20"/>
              </w:rPr>
              <w:t>5 of our annual report on Form 20-F for the fiscal year ended December 31, 2025;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We may be adversely affected by the complexity, uncertainties and changes in the regulation of internet-related businesses and companies in China. See page </w:t>
            </w:r>
            <w:r>
              <w:rPr>
                <w:sz w:val="20"/>
              </w:rPr>
              <w:t>15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 (for a more detailed discussion, see “Item 3. Key Information—D. Risk Factors—Risks Related to Doing Business in China” in our annual report on Form 20-F for the fiscal year ended December 31, 2025 and the section titled “Risk Factors”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and uncertainties related to doing business in the PRC in general,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rFonts w:ascii="Times New Roman;Times;Serif" w:hAnsi="Times New Roman;Times;Serif"/>
                <w:sz w:val="20"/>
              </w:rPr>
              <w:t>Adverse changes in political and economic policies of the PRC government could have a material adverse effect on the overall economic growth of the PRC, which could reduce the demand for our products and materially and adversely affect our competitive position.</w:t>
            </w:r>
            <w:r>
              <w:rPr>
                <w:sz w:val="20"/>
              </w:rPr>
              <w:t xml:space="preserve"> See page 23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Uncertainties regarding interpretation and enforcement of the laws, rules and regulations in China may impose adverse impact on our business, operations and profitability. See page </w:t>
            </w:r>
            <w:r>
              <w:rPr>
                <w:sz w:val="20"/>
              </w:rPr>
              <w:t>23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Changes in the policies, regulations, rules, and the enforcement of laws of the PRC government may be quick with little advance notice and could have a significant impact upon our ability to operate profitably in the PRC</w:t>
            </w:r>
            <w:r>
              <w:rPr>
                <w:sz w:val="20"/>
              </w:rPr>
              <w:t>. See page 23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w:t>
            </w:r>
            <w:r>
              <w:rPr>
                <w:sz w:val="20"/>
              </w:rPr>
              <w:t>. See page 24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Recent greater oversight by the Cyberspace Administration of China, or the CAC, over data security, particularly for companies seeking to list on a foreign exchange, could adversely impact our business and our offering</w:t>
            </w:r>
            <w:r>
              <w:rPr>
                <w:sz w:val="20"/>
              </w:rPr>
              <w:t>. See page 26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rFonts w:ascii="Times New Roman;Times;Serif" w:hAnsi="Times New Roman;Times;Serif"/>
                <w:sz w:val="20"/>
              </w:rPr>
              <w:t>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w:t>
            </w:r>
            <w:r>
              <w:rPr>
                <w:sz w:val="20"/>
              </w:rPr>
              <w:t xml:space="preserve"> See page 27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Labor Contract Law and other labor-related laws in the PRC may adversely affect our business and our results of operations.</w:t>
            </w:r>
            <w:r>
              <w:rPr/>
              <w:t xml:space="preserve"> </w:t>
            </w:r>
            <w:r>
              <w:rPr>
                <w:sz w:val="20"/>
              </w:rPr>
              <w:t>See page 27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Under the Enterprise Income Tax Law, we may be classified as a “Resident Enterprise” of China. Such classification will likely result in unfavorable tax consequences to us and our non-PRC shareholders.</w:t>
            </w:r>
            <w:r>
              <w:rPr/>
              <w:t xml:space="preserve"> </w:t>
            </w:r>
            <w:r>
              <w:rPr>
                <w:sz w:val="20"/>
              </w:rPr>
              <w:t>See page 28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You may be subject to PRC income tax on dividends from us or on any gain realized on the transfer of our Ordinary Shares.</w:t>
            </w:r>
            <w:r>
              <w:rPr/>
              <w:t xml:space="preserve"> </w:t>
            </w:r>
            <w:r>
              <w:rPr>
                <w:sz w:val="20"/>
              </w:rPr>
              <w:t>See page 28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PRC regulation of loans to PRC entities by offshore holding companies and governmental control of currency conversion may delay or prevent us from using proceeds from our future financing activities to make loans to our PRC operating subsidiaries, which might adversely affect our liquidity and our ability to fund and expand our business.</w:t>
            </w:r>
            <w:r>
              <w:rPr/>
              <w:t xml:space="preserve"> </w:t>
            </w:r>
            <w:r>
              <w:rPr>
                <w:sz w:val="20"/>
              </w:rPr>
              <w:t>See page 29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w:t>
            </w:r>
            <w:r>
              <w:rPr/>
              <w:t xml:space="preserve"> </w:t>
            </w:r>
            <w:r>
              <w:rPr>
                <w:sz w:val="20"/>
              </w:rPr>
              <w:t>See page 30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We may rely on dividends paid by our subsidiaries for our cash needs, and any limitation on the ability of our subsidiaries to make payments to us could have a material adverse effect on our ability to conduct business.</w:t>
            </w:r>
            <w:r>
              <w:rPr/>
              <w:t xml:space="preserve"> </w:t>
            </w:r>
            <w:r>
              <w:rPr>
                <w:sz w:val="20"/>
              </w:rPr>
              <w:t>See page 30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rFonts w:ascii="Times New Roman;Times;Serif" w:hAnsi="Times New Roman;Times;Serif"/>
                <w:sz w:val="20"/>
              </w:rPr>
              <w:t>Failure to comply with PRC regulations relating to the establishment of offshore special purpose companies by PRC residents may subject our PRC resident shareholders to personal liability, may limit our ability to acquire PRC companies or to inject capital into our PRC subsidiaries, may limit the ability of our PRC subsidiaries to distribute profits to us or may otherwise materially and adversely affect us.</w:t>
            </w:r>
            <w:r>
              <w:rPr>
                <w:sz w:val="20"/>
              </w:rPr>
              <w:t xml:space="preserve"> See page 32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We may be unable to complete a business combination transaction efficiently or on favorable terms due to complicated merger and acquisition regulations and certain other PRC regulations.</w:t>
            </w:r>
            <w:r>
              <w:rPr/>
              <w:t xml:space="preserve"> </w:t>
            </w:r>
            <w:r>
              <w:rPr>
                <w:sz w:val="20"/>
              </w:rPr>
              <w:t>See page 32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We face uncertainties with respect to indirect transfers of equity interests in PRC resident enterprises by their non-PRC holding companies.</w:t>
            </w:r>
            <w:r>
              <w:rPr/>
              <w:t xml:space="preserve"> </w:t>
            </w:r>
            <w:r>
              <w:rPr>
                <w:sz w:val="20"/>
              </w:rPr>
              <w:t>See page 33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Y</w:t>
            </w:r>
            <w:r>
              <w:rPr>
                <w:sz w:val="20"/>
              </w:rPr>
              <w:t>ou may have difficulty effecting service of legal process, enforcing judgments or bringing actions against us and our management. See page 34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U.S. regulatory bodies may be limited in their ability to conduct investigations or inspections of our operations in China.</w:t>
            </w:r>
            <w:r>
              <w:rPr/>
              <w:t xml:space="preserve"> </w:t>
            </w:r>
            <w:r>
              <w:rPr>
                <w:sz w:val="20"/>
              </w:rPr>
              <w:t>See page 34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Our Ordinary Shares may be delisted and prohibited from being traded under the Holding Foreign Companies Accountable Act if the PCAOB is unable to inspect our auditors. The delisting and the cessation of trading of our Ordinary Shares, or the treat of their being delisted and prohibited from being traded, may materially and adversely affect the value of your investment. Additionally, any inability of the PCAOB to conduct inspections deprives our investors with the benefits of such inspections.</w:t>
            </w:r>
            <w:r>
              <w:rPr/>
              <w:t xml:space="preserve"> </w:t>
            </w:r>
            <w:r>
              <w:rPr>
                <w:sz w:val="20"/>
              </w:rPr>
              <w:t>See page 35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We may be exposed to liabilities under the Foreign Corrupt Practices Act and Chinese anti-corruption law.</w:t>
            </w:r>
            <w:r>
              <w:rPr/>
              <w:t xml:space="preserve"> </w:t>
            </w:r>
            <w:r>
              <w:rPr>
                <w:sz w:val="20"/>
              </w:rPr>
              <w:t>See page 35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rFonts w:ascii="Times New Roman;Times;Serif" w:hAnsi="Times New Roman;Times;Serif"/>
                <w:sz w:val="20"/>
              </w:rPr>
              <w:t>Because our business is conducted in RMB and the price of our Ordinary Shares is quoted in the U.S. dollar, changes in the exchange rate between RMB and the U.S. dollar may affect the value of your investments.</w:t>
            </w:r>
            <w:r>
              <w:rPr>
                <w:sz w:val="20"/>
              </w:rPr>
              <w:t xml:space="preserve"> See page 36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Ordinary Shares (for a more detailed discussion, see “Item 3. Key Information—D. Risk Factors—Risks Related to Our Ordinary Shares” in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general risks and uncertainties related to our Ordinary Shares and the trading market,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rFonts w:ascii="Times New Roman;Times;Serif" w:hAnsi="Times New Roman;Times;Serif"/>
                <w:sz w:val="20"/>
              </w:rPr>
              <w:t>Shares eligible for future sale may adversely affect the market price of our Ordinary Shares, as the future sale of a substantial amount of outstanding Ordinary Shares in the public marketplace could reduce the price of our Ordinary Shares. See page 3</w:t>
            </w:r>
            <w:r>
              <w:rPr>
                <w:sz w:val="20"/>
              </w:rPr>
              <w:t>6 of our annual report on Form 20-F for the fiscal year ended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We cannot assure you that we will declare and distribute any dividends in the future. See page 3</w:t>
            </w:r>
            <w:r>
              <w:rPr>
                <w:sz w:val="20"/>
              </w:rPr>
              <w:t>6 of our annual report on Form 20-F for the fiscal year ended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For as long as we are an emerging growth company, we will not be required to comply with certain reporting requirements, including those relating to accounting standards and disclosure about our executive compensation, that apply to other public companies. See page 3</w:t>
            </w:r>
            <w:r>
              <w:rPr>
                <w:sz w:val="20"/>
              </w:rPr>
              <w:t>7 of our annual report on Form 20-F for the fiscal year ended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not subject to certain U.S. securities law disclosure requirements that apply to a domestic U.S. issuer, which may limit the information publicly available to our shareholders. See page 37 of our annual report on Form 20-F for the fiscal year ended December 31, 2025;</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As a foreign private issuer,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corporate governance listing standards.</w:t>
            </w:r>
            <w:r>
              <w:rPr/>
              <w:t xml:space="preserve"> </w:t>
            </w:r>
            <w:r>
              <w:rPr>
                <w:sz w:val="20"/>
              </w:rPr>
              <w:t>See page 38 of our annual report on Form 20-F for the fiscal year ended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lose our foreign private issuer status in the future, which could result in significant additional costs and expenses. See page 38 of our annual report on Form 20-F for the fiscal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requirements of being a public company may strain our resources and divert management’s attention. See page 38 of our annual report on Form 20-F for the fiscal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to disclose information publicly may put us at a disadvantage to competitors that are private companies. See page 39 of our annual report on Form 20-F for the fiscal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Cayman Islands may not provide our shareholders with benefits comparable to those provided to shareholders of corporations incorporated in the United States. For instance, you may face difficulties in protecting your interests, and your ability to protect your rights through U.S. courts may be limited, because we are incorporated under Cayman Islands law. See page 39 of our annual report on Form 20-F for the fiscal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be unable to present proposals before annual general meetings or extraordinary general meetings not called by shareholders. See page 40 of our annual report on Form 20-F for the fiscal year ended December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satisfy, or continue to satisfy, the continued listing requirements and other rules of the Nasdaq Capital Market, our securities may be delisted, which could negatively impact the price of our securities and your ability to sell them.. See page 40 of our annual report on Form 20-F for the fiscal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exempt from certain provisions applicable to United States domestic public companies. For example: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Securities Exchange Act of 1934, as amended (the “Exchange Act”) requiring the filing with the SEC of quarterly reports on Form 10-Q or current reports on Form 8-K;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requiring insiders to file public reports of their stock ownership and trading activities and liability for insiders who profit from trades made in a short period of time; provided that, effective March 18, 2026, our directors and officers will be subject to the insider reporting requirements of Section 16(a) of the Exchange Act; and</w:t>
            </w:r>
          </w:p>
        </w:tc>
      </w:tr>
    </w:tbl>
    <w:p>
      <w:pPr>
        <w:pStyle w:val="TextBody"/>
        <w:bidi w:val="0"/>
        <w:spacing w:before="0" w:after="0"/>
        <w:ind w:left="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President Obama signed into law the Jumpstart Our Business Startups Act, or the JOBS Act. As a company with less than US$1.235 billion in revenue for the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the last day of our fiscal year during which we have total annual gross revenues of at least US$1.235 billion; (ii) the last day of our fiscal year following the fifth anniversary of the completion of our initial public offering; (iii) the date on which we have, during the previous three year period, issued more than US$1.0 billion in non-convertible debt; or (iv) the date on which we are deemed to be a “large accelerated filer” under the Exchange Act, which would occur if the market value of our Ordinary Shares that are held by non-affiliates exceeds US$700 million as of the last business day of our most recently completed second fiscal quarter and we have been publicly reporting for at least 12 months.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East Floor 5, Building No. 8, Xishanhui, Shijingshan District Beijing, People’s Republic of China. Our telephone number at this address is +86 010-82088021. Our registered office in the Cayman Islands is located at Harneys Fiduciary (Cayman) Limited, 4th Floor, Harbour Place, 103 South Church Street, P.O. Box 10240, Grand Cayman KY1-1002, Cayman Islands. Investors should submit any inquiries to the address and telephone number of our principal executive offices set forth above. We maintain a corporate website at http://ir.bsacme.com. The information contained in our website is not a part of this prospectus supplement. The information contained in, or accessible from, our website or any other website does not constitute a part of this prospectus supplement. Our agent for service of process in the United States is Cogency Global Inc., located at 122 East 42nd Street, 18th Floor, New York, NY 10168.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3"/>
        <w:gridCol w:w="8612"/>
      </w:tblGrid>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 offered by us pursuant to this prospectus supplement </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US$30,000,000 of the Ordinary Shares we may issue and sell to HW from time to time until the Maturity Date (as defined in the Purchase Agreement), at our sole discretion, in accordance with the Purchase Agreement, and an additional US $300,000 of the Ordinary Shares, subject to certain adjustments, to be issued to HW as consideration for its commitment to purchase the Ordinary Shares under the Purchase Agreement (the “Commitment Shares”). We will not receive any cash proceeds from the issuance of these Commitment Shares.</w:t>
            </w:r>
          </w:p>
        </w:tc>
      </w:tr>
      <w:tr>
        <w:trPr/>
        <w:tc>
          <w:tcPr>
            <w:tcW w:w="1593"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both"/>
              <w:rPr/>
            </w:pPr>
            <w:r>
              <w:rPr/>
              <w:t> </w:t>
            </w:r>
          </w:p>
        </w:tc>
      </w:tr>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Ordinary Shares outstanding before this offering</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31,834,487 Ordinary Shares </w:t>
            </w:r>
          </w:p>
        </w:tc>
      </w:tr>
      <w:tr>
        <w:trPr/>
        <w:tc>
          <w:tcPr>
            <w:tcW w:w="1593"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both"/>
              <w:rPr/>
            </w:pPr>
            <w:r>
              <w:rPr/>
              <w:t> </w:t>
            </w:r>
          </w:p>
        </w:tc>
      </w:tr>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Ordinary Shares outstanding immediately after this offering</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43,619,999 Ordinary Shares, assuming sale of 11,673,152 Ordinary Shares (based on sale of US$30,000,000 of Ordinary Shares at an assumed offering price of US$2.57 per Ordinary Share, which is 97% of US$2.65, the last reported sale price of the Ordinary Shares on July 7, 2026), and assuming an issuance of additional 112,360 Ordinary Shares, subject to certain adjustments, as Commitment Shares (based on issuance of US$300,000 of Ordinary Shares at the US$2.67 price per Ordinary Share, which is the closing price of the Ordinary Shares on July 6, 2026). If HW crosses US$30,000,000 in purchase of Ordinary Shares, the Company will issue an additional US$300,000 of Ordinary Shares in addition to the Commitment Shares. The actual total number of Ordinary Shares issued will vary depending on the sales prices under this offering and certain adjustments under the Purchase Agreement. </w:t>
            </w:r>
          </w:p>
        </w:tc>
      </w:tr>
      <w:tr>
        <w:trPr/>
        <w:tc>
          <w:tcPr>
            <w:tcW w:w="1593"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both"/>
              <w:rPr/>
            </w:pPr>
            <w:r>
              <w:rPr/>
              <w:t> </w:t>
            </w:r>
          </w:p>
        </w:tc>
      </w:tr>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intend to use the net proceeds from this offering for working capital and general corporate purposes. See “Use of Proceeds” on page S-28 of this prospectus supplement.</w:t>
            </w:r>
          </w:p>
        </w:tc>
      </w:tr>
      <w:tr>
        <w:trPr/>
        <w:tc>
          <w:tcPr>
            <w:tcW w:w="1593"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both"/>
              <w:rPr/>
            </w:pPr>
            <w:r>
              <w:rPr/>
              <w:t> </w:t>
            </w:r>
          </w:p>
        </w:tc>
      </w:tr>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our securities involves a high degree of risk. For a discussion of factors you should consider carefully before deciding to invest in our securities, see the information contained in or incorporated by reference under the heading “Risk Factors” beginning on page S-21 of this prospectus supplement, on page 25 of the accompanying prospectus, and in the other documents incorporated by reference into this prospectus supplement.</w:t>
            </w:r>
          </w:p>
        </w:tc>
      </w:tr>
      <w:tr>
        <w:trPr/>
        <w:tc>
          <w:tcPr>
            <w:tcW w:w="1593"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both"/>
              <w:rPr/>
            </w:pPr>
            <w:r>
              <w:rPr/>
              <w:t> </w:t>
            </w:r>
          </w:p>
        </w:tc>
      </w:tr>
      <w:tr>
        <w:trPr/>
        <w:tc>
          <w:tcPr>
            <w:tcW w:w="15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Listing</w:t>
            </w:r>
          </w:p>
        </w:tc>
        <w:tc>
          <w:tcPr>
            <w:tcW w:w="86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Ordinary Shares are listed on Nasdaq under the symbol “BAOS.”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certain risks that should be carefully considered along with the other information contained or incorporated by reference in this prospectus supplement, the accompanying prospectus, and the documents incorporated by reference, as updated by our subsequent filings under the Exchange Act. Particularly, you should carefully consider the risk factors incorporated by reference to our annual report on Form 20-F for the year ended December 31, 2025 and in the accompanying prospectus. If any of the following events actually occurs, our business, operating results, prospects, or financial condition could be materially and adversely affected. The risks described below are not the only ones that we face. Additional risks not presently known to us or that we currently deem immaterial may also significantly impair our business operations and could result in a complete loss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issuance of the Ordinary Shares to HW may cause dilution and the sale of the Ordinary Shares acquired by HW, or the perception that such sales may occur, could cause the price of the Ordinary Shares to 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we entered into the Purchase Agreement with HW, pursuant to which HW has committed to purchase up to US$30,000,000 of the Ordinary Shares. The Ordinary Shares may be sold by us under the Purchase Agreement to HW at our discretion from time to time over a period commencing on the Commencement Date (as defined in the Purchase Agreement) and ending on the earlier of (1) the date on which HW shall have cumulatively purchased a number of Purchase Notice Shares pursuant to the Purchase Agreement equal to $30,000,000, or (ii) the Maturity Date (as defined in the Purchase Agreement), subject to the satisfaction of certain conditions set forth in the Purchase Agreement. The purchase price for the Ordinary Shares that we may sell to HW under the Purchase Agreement will fluctuate based on the trading price of the Ordinary Shares on Nasdaq. Depending on market liquidity at the time, sales of such shares may cause the trading price of the Ordinary Shares to fall. In addition, as a fee for HW’s commitment to purchase the Ordinary Shares under the Purchase Agreement, we will issue a certain number of Ordinary Shares (the “Commitment Shares”) to HW. The amount of Commitment Shares to be issued to HW shall equal 1.0% of $30,000,000, or $300,000 (the “Total Commitment Shares”). We shall issue to HW (1) 50% of the total Commitment Shares after receipt by us of aggregate gross proceeds of at least US$5,000,000; and (2) 50% of the Total Commitment Shares after the receipt by us of aggregate gross proceeds of at least US$15,000,000. If HW crosses US$30,000,000 in purchase of Ordinary Shares, we will issue an additional US$300,000 of Ordinary Shares in addition to the Commitment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have the right to control the timing and amount of any future sales of the Ordinary Shares to HW. Additional sales of the Ordinary Shares, if any, to HW will depend upon market conditions and other factors to be determined by us. We may ultimately decide to sell to HW all, some or none of the additional Ordinary Shares that may be available for us to sell pursuant to the Purchase Agreement. If and when we do sell the Ordinary Shares to HW, after HW has acquired the Ordinary Shares, HW may resell all, some or none of those Ordinary Shares at any time or from time to time in its discretion. Therefore, sales to HW by us could result in substantial dilution to the interests of other holders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sale of a substantial number of the Ordinary Shares to HW, or the anticipation of such sales, could make it more difficult for us to sell equity or equity-related securities in the future at a time and at a price that we might otherwise wish to effect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may be volatile and could decline substantially.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volatile, both because of actual and perceived changes in our financial results and prospects, and because of general volatility in the stock market. The factors that could cause fluctuations in our share price may include, among other factors discussed in this section,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the financial results and prospects of our Company or other companies in the retail business;</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05"/>
        <w:gridCol w:w="125"/>
        <w:gridCol w:w="425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research analysts;</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05"/>
        <w:gridCol w:w="125"/>
        <w:gridCol w:w="443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 or other business combinations involving us;</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105"/>
        <w:gridCol w:w="125"/>
        <w:gridCol w:w="551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 and senior management;</w:t>
            </w:r>
          </w:p>
        </w:tc>
      </w:tr>
    </w:tbl>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105"/>
        <w:gridCol w:w="125"/>
        <w:gridCol w:w="284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105"/>
        <w:gridCol w:w="125"/>
        <w:gridCol w:w="630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passage of legislation or other developments affecting us or our industry;</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05"/>
        <w:gridCol w:w="125"/>
        <w:gridCol w:w="524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Ordinary Shares in the public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release of lockup, escrow, or other transfer restrictions on our outstanding equity securities or sales of additional equity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05"/>
        <w:gridCol w:w="125"/>
        <w:gridCol w:w="399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105"/>
        <w:gridCol w:w="125"/>
        <w:gridCol w:w="743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economic conditions, including fluctuations in global and Chinese economies;</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05"/>
        <w:gridCol w:w="125"/>
        <w:gridCol w:w="239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market conditions;</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5"/>
        <w:gridCol w:w="125"/>
        <w:gridCol w:w="590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5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terrorist acts, acts of war, or periods of civil unrest; and</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05"/>
        <w:gridCol w:w="125"/>
        <w:gridCol w:w="539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realization of some or all of the risks described in this section.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significant price and trading volume fluctuations from time to time, and the market prices of the equity securities of retailers have been extremely volatile and are sometimes subject to sharp price and trading volume changes. These broad market fluctuations may materially and adversely affect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our management will have broad discretion in how we use the proceeds from this offering, we may use the proceeds in ways with which you disagree.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significant flexibility in applying the net proceeds of this offering. You will be relying on the judgment of our management with regard to the use of those net proceeds, and you will not have the opportunity, as part of your investment decision, to influence how the proceeds are being used.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Ordinary Shares, whether by us or our shareholders, could cause the price of our Ordinary Shares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existing shareholders sell, or indicate an intent to sell, substantial amounts of our Ordinary Shares in the public market, the trading price of our Ordinary Shares could decline significantly. Similarly, the perception in the public market that our shareholders might sell our Ordinary Shares could also depress the market price of our shares. A decline in the price of our Ordinary Shares might impede our ability to raise capital through the issuance of additional Ordinary Shares or other equity securities. In addition, the issuance and sale by us of additional Ordinary Shares, or securities convertible into or exercisable for our Ordinary Shares, or the perception that we will issue such securities, could reduce the trading price for our Ordinary Shares as well as make future sales of equity securities by us less attractive or not feasible.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know whether a market for the Ordinary Shares will be sustained or what the trading price of the Ordinary Shares will be and as a result it may be difficult for you to sell your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Ordinary Shares trade on Nasdaq, an active trading market for the Ordinary Shares may not be sustained. It may be difficult for you to sell your Ordinary Shares without depressing the market price for the Ordinary Shares. As a result of these and other factors, you may not be able to sell your Ordinary Shares. Further, an inactive market may also impair our ability to raise capital by selling Ordinary Shares, or may impair our ability to enter into strategic partnerships or acquire companies or products by using our Ordinary Shares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analysts may not cover our Ordinary Shares and this may have a negative impact on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will depend, in part, on the research and reports that securities or industry analysts publish about us or our business. We do not have any control over independent analysts (provided that we have engaged various non-independent analysts). We do not currently have and may never obtain research coverage by independent securities and industry analysts. If no independent securities or industry analysts commence coverage of us, the trading price for our Ordinary Shares would be negatively impacted. If we obtain independent securities or industry analyst coverage and if one or more of the analysts who covers us downgrades our Ordinary Shares, changes their opinion of our shares or publishes inaccurate or unfavorable research about our business, the price of our Ordinary Shares would likely decline. If one or more of these analysts ceases coverage of us or fails to publish reports on us regularly, demand for our Ordinary Shares could decrease and we could lose visibility in the financial markets, which could cause the price and trading volume of our Ordinary Shares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existing shareholders will experience immediate dilution as a result of this offering and may experience future dilution as a result of future equity offerings or other equity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existing shareholders will experience an immediate dilution relative to net tangible book value per Ordinary Share as a result of this offering. Our net tangible book value on December 31, 2025 was US$3.3 million, or US$2.14 per Ordinary Share. Our pro forma net tangible book value on December 31, 2025, after giving effect to the sales of 25,000,000 Ordinary Shares in June 2026 and issuance of 5,300,000 Ordinary shares to certain consultants in June 2026, was US$15.8 million, or US$0.50 per Ordinary Share. After giving effect to the sale of 11,673,152 Ordinary Shares (assumed based on sale of US$30,000,000 of Ordinary Shares at an assumed offering price of US$2.57 per Ordinary Share, which is 97% of US$2.65, the last reported sale price of the Ordinary Shares on July 7, 2026) and the issuance of additional 112,360 Ordinary Shares (based on US$300,000 of Ordinary Shares at the US$2.67 price per Ordinary Share, which is the closing price of the Ordinary Shares on July 6, 2026), assuming no adjustment as detailed under the Purchase Agreement, and after deducting the estimated offering expenses payable by us in connection with this offering, our pro forma as adjusted net tangible book value as of December 31, 2025 would have been US$45.8 million, or US$1.05 per Ordinary Share. This represents an immediate increase in net tangible book value of US$0.55 per Ordinary Share to our existing shareholders and an immediate decrease in net tangible book value of US$1.52 per Ordinary Share to the investor participating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issue additional Ordinary Shares or other securities convertible into or exchangeable for our Ordinary Shares. We cannot assure you that we will be able to sell our Ordinary Shares or other securities in any other offering or other transactions at a price per Ordinary Share that is equal to or greater than the price per Ordinary Share paid by the investors in this offering. The price per Ordinary Share at which we sell additional Ordinary Shares or other securities convertible into or exchangeable for our Ordinary Shares in future transactions may be higher or lower than the price per Ordinary Share in this offering. If we do issue any such additional Ordinary Shares, such issuance also will cause a reduction in the proportionate ownership and voting power of all other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expect to pay dividends in the foreseeable future, you must rely on the price appreciation of our Ordinary Shares for return on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Ordinary Shares as a source for any future dividend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Ordinary Shares will likely depend entirely upon any future price appreciation of our Ordinary Shares. There is no guarantee that our Ordinary Shares will appreciate in value or even maintain the price at which you purchased the Ordinary Shares. You may not realize a return on your investment in our Ordinary Shares and you may even lose your entire investment in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Techniques employed by short sellers may drive down the market price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be the subject of unfavorable allegations made by short sellers. Any such allegations may be followed by periods of instability in the market price of our Ordinary Shares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Ordinary Shares could be greatly reduced or rendered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exempted company incorporated in the Cayman Islands with limited liability,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incorporated in the Cayman Islands with limited liability that is listed on the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have relied on and plan to rely on home country practice with respect to our corporate governance. Specifically, we are not required to seek shareholder approval for (i) the issuance 20% or more of our outstanding Ordinary Shares or voting power in a private offering, (ii) the issuance of securities pursuant to a share option or purchase plan to be established or materially amended or other equity compensation arrangement made or materially amended, (iii) the issuance of securities when the issuance or potential issuance will result in a change of control of our Company, and (iv) certain acquisitions in connection with the acquisition of the stock or assets of another company. As a result, our shareholders may be afforded less protection than they otherwise would enjoy under the Nasdaq corporate governance listing standards applicable to U.S. domestic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substantially all of our assets are located outside of the United States. All of our current operations are conducted in the PRC. In addition, the majority of our officers and directors are nationals and residents of countries other than the United States and all of their assets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not subject to certain U.S. securities law disclosure requirements that apply to a domestic U.S. issuer, which may limit the information publicly available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Securities Exchange Act of 1934, as amended (the “Exchange Act”) requiring the filing with the SEC of quarterly reports on Form 10-Q or current reports on Form 8-K;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requiring insiders to file public reports of their stock ownership and trading activities and liability for insiders who profit from trades made in a short period of time; provided that, effective March 18, 2026, our directors and officers will be subject to the insider reporting requirements of Section 16(a) of the Exchange Act; and</w:t>
            </w:r>
          </w:p>
        </w:tc>
      </w:tr>
    </w:tbl>
    <w:p>
      <w:pPr>
        <w:pStyle w:val="TextBody"/>
        <w:bidi w:val="0"/>
        <w:spacing w:before="0" w:after="0"/>
        <w:ind w:left="0" w:right="0" w:hanging="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125"/>
        <w:gridCol w:w="7865"/>
      </w:tblGrid>
      <w:tr>
        <w:trPr/>
        <w:tc>
          <w:tcPr>
            <w:tcW w:w="10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 as derived from our audited consolidated balance sheets as of December 31, 2025, which are incorporated by reference into this prospectus supplement;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on a pro forma basis to reflect the sales of 25,000,000 Ordinary Shares in June 2026 and issuance of 5,300,000 Ordinary shares to certain consultants in June 2026;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on a pro forma as adjusted basis to give further effect to the issuance and sale of 11,673,152 Ordinary Shares (assumed based on sale of US$30,000,000 of Ordinary Shares at an assumed offering price of US$2.57 per Ordinary Share, which is 97% of US$2.65, the last reported sale price of the Ordinary Shares on July 7, 2026), and the issuance of additional 112,360 Ordinary Shares, subject to certain adjustments, as Commitment Shares (based on issuance of US$300,000 of Ordinary Shares at the US$2.67 price per Ordinary Share, which is the closing price of the Ordinary Shares on July 6,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together with “Item 5. Operating and Financial Review and Prospects” of the 2025 Form 20-F, the “Management’s Discussion and Analysis of Financial Condition and Results of Operations,” and our consolidated financial statements and notes included in the information incorporated by reference into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80"/>
        <w:gridCol w:w="60"/>
        <w:gridCol w:w="125"/>
        <w:gridCol w:w="1010"/>
        <w:gridCol w:w="80"/>
        <w:gridCol w:w="60"/>
        <w:gridCol w:w="125"/>
        <w:gridCol w:w="1010"/>
        <w:gridCol w:w="80"/>
        <w:gridCol w:w="60"/>
        <w:gridCol w:w="125"/>
        <w:gridCol w:w="1010"/>
        <w:gridCol w:w="8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8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 2025</w:t>
            </w:r>
          </w:p>
        </w:tc>
        <w:tc>
          <w:tcPr>
            <w:tcW w:w="8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Actual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 as</w:t>
              <w:br/>
              <w:t>adjusted</w:t>
            </w:r>
          </w:p>
        </w:tc>
        <w:tc>
          <w:tcPr>
            <w:tcW w:w="80" w:type="dxa"/>
            <w:tcBorders/>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Short-term bank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730,720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730,720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730,720</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b/>
                <w:sz w:val="20"/>
              </w:rPr>
            </w:pPr>
            <w:r>
              <w:rPr>
                <w:b/>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Ordinary Shares (par value $0.0096 per share, 1,000,000,000 shares authorized; 1,534,487 shares issued and outstanding on an actual basis; 31,834,487 shares issued and outstanding on a pro forma basis; 43,619,999 shares issued and outstanding on a pro forma as adjusted basis)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14,731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305,611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418,752</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Additional paid-in capital</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41,564,418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68,490,663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98,332,522</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Statutory reserve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898,133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898,133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898,133</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Accumulated deficits</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(35,480,426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(50,161,426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(50,161,426</w:t>
            </w:r>
          </w:p>
        </w:tc>
        <w:tc>
          <w:tcPr>
            <w:tcW w:w="80" w:type="dxa"/>
            <w:tcBorders/>
            <w:shd w:fill="CCEEFF" w:val="clear"/>
            <w:vAlign w:val="center"/>
          </w:tcPr>
          <w:p>
            <w:pPr>
              <w:pStyle w:val="TableContents"/>
              <w:bidi w:val="0"/>
              <w:spacing w:before="0" w:after="283"/>
              <w:ind w:left="0" w:right="0" w:hanging="200"/>
              <w:jc w:val="left"/>
              <w:rPr>
                <w:sz w:val="20"/>
              </w:rPr>
            </w:pPr>
            <w:r>
              <w:rPr>
                <w:sz w:val="20"/>
              </w:rPr>
              <w:t>)</w:t>
            </w:r>
          </w:p>
        </w:tc>
      </w:tr>
      <w:tr>
        <w:trPr/>
        <w:tc>
          <w:tcPr>
            <w:tcW w:w="6380" w:type="dxa"/>
            <w:tcBorders/>
            <w:shd w:fill="FFFFFF" w:val="clear"/>
            <w:vAlign w:val="center"/>
          </w:tcPr>
          <w:p>
            <w:pPr>
              <w:pStyle w:val="TableContents"/>
              <w:bidi w:val="0"/>
              <w:spacing w:before="0" w:after="283"/>
              <w:jc w:val="left"/>
              <w:rPr>
                <w:sz w:val="20"/>
              </w:rPr>
            </w:pPr>
            <w:r>
              <w:rPr>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(3,709,544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(3,709,544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(3,709,544</w:t>
            </w:r>
          </w:p>
        </w:tc>
        <w:tc>
          <w:tcPr>
            <w:tcW w:w="80" w:type="dxa"/>
            <w:tcBorders/>
            <w:shd w:fill="FFFFFF" w:val="clear"/>
            <w:vAlign w:val="center"/>
          </w:tcPr>
          <w:p>
            <w:pPr>
              <w:pStyle w:val="TableContents"/>
              <w:bidi w:val="0"/>
              <w:spacing w:before="0" w:after="283"/>
              <w:ind w:left="0" w:right="0" w:hanging="200"/>
              <w:jc w:val="left"/>
              <w:rPr>
                <w:sz w:val="20"/>
              </w:rPr>
            </w:pPr>
            <w:r>
              <w:rPr>
                <w:sz w:val="20"/>
              </w:rPr>
              <w:t>)</w:t>
            </w:r>
          </w:p>
        </w:tc>
      </w:tr>
      <w:tr>
        <w:trPr/>
        <w:tc>
          <w:tcPr>
            <w:tcW w:w="6380" w:type="dxa"/>
            <w:tcBorders/>
            <w:shd w:fill="CCEEFF" w:val="clear"/>
            <w:vAlign w:val="center"/>
          </w:tcPr>
          <w:p>
            <w:pPr>
              <w:pStyle w:val="TableContents"/>
              <w:bidi w:val="0"/>
              <w:spacing w:before="0" w:after="283"/>
              <w:jc w:val="left"/>
              <w:rPr>
                <w:b/>
                <w:sz w:val="20"/>
              </w:rPr>
            </w:pPr>
            <w:r>
              <w:rPr>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3,287,312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15,823,437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45,778,437</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6380" w:type="dxa"/>
            <w:tcBorders/>
            <w:shd w:fill="FFFFFF" w:val="clear"/>
            <w:vAlign w:val="center"/>
          </w:tcPr>
          <w:p>
            <w:pPr>
              <w:pStyle w:val="TableContents"/>
              <w:bidi w:val="0"/>
              <w:spacing w:before="0" w:after="283"/>
              <w:jc w:val="left"/>
              <w:rPr>
                <w:b/>
                <w:sz w:val="20"/>
              </w:rPr>
            </w:pPr>
            <w:r>
              <w:rPr>
                <w:b/>
                <w:sz w:val="20"/>
              </w:rPr>
              <w:t>Total Capitalization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4,018,032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16,554,157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46,509,157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sz w:val="20"/>
              </w:rPr>
            </w:pPr>
            <w:r>
              <w:rPr>
                <w:sz w:val="20"/>
              </w:rPr>
              <w:t>(1)</w:t>
            </w:r>
          </w:p>
        </w:tc>
        <w:tc>
          <w:tcPr>
            <w:tcW w:w="99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 on a pro forma basis reflects the sales of 24,880,018 Ordinary Shares in June 2026 at an offering price of $0.492 per Ordinary Share, sales of 119,982 Ordinary Shares in June 2026 at an offering price of $2.46 per Ordinary Share and issuance of 5,300,000 Ordinary shares, at per share price of $2.77 to certain consultants in June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 on a pro forma as adjusted basis reflects the sale of Ordinary Shares in this offering at an assumed offering price of $2.57 per Ordinary Share, and after deducting the estimated offering expenses payable by us. The pro forma as adjusted information is illustrative only. We estimate that such net proceeds will be approximately $29,950,000 ($30,000,000 gross offering proceeds, less offering expenses of approximately $45,000).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sz w:val="20"/>
              </w:rPr>
            </w:pPr>
            <w:r>
              <w:rPr>
                <w:sz w:val="20"/>
              </w:rPr>
              <w:t>(2)</w:t>
            </w:r>
          </w:p>
        </w:tc>
        <w:tc>
          <w:tcPr>
            <w:tcW w:w="997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deficits on a pro forma basis reflects the share-based compensation expenses of $14.7 million arising from issuance of 5,300,000 Ordinary shares, at per share price of $2.77 to certain consultants in June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Ordinary Shares to HW pursuant to the Purchase Agreement may have a dilutive impact on our shareholders. In addition, the lower the price of Ordinary Shares is at the time we exercise our right to sell shares to HW, the more Ordinary Shares we will have to issue to HW pursuant to the Purchase Agreement and our existing shareholders will experience greater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on December 31, 2025 was US$3.3 million, or US$2.14 per Ordinary Share. Our pro forma net tangible book value on December 31, 2025, after giving effect to the sales of 25,000,000 Ordinary Shares in June 2026 and issuance of 5,300,000 Ordinary shares to certain consultants in June 2026, was US$15.8 million, or US$0.50 per Ordinary Share. Dilution is determined by subtracting pro forma as adjusted net tangible book value per Ordinary Share, after giving effect to the additional proceeds we will receive from this offering, from the offering price per Ordinary Share. After giving effect to the issuance and sale of 11,673,152 Ordinary Shares at the assumed offering price of US$2.57 per Ordinary Share (97% of US$2.65, the last reported sale price of the Ordinary Shares on July 7, 2026) and the issuance of additional 112,360 Ordinary Shares (based on US$300,000 of Ordinary Shares at the US$2.67 price per Ordinary Share, which is the closing price of the Ordinary Shares on July 6, 2026), assuming no adjustment as detailed under the Purchase Agreement, after deducting fees and expenses and estimated offering expenses payable by us, our pro forma as adjusted net tangible book value as of December 31, 2025 would have been approximately US$45.8 million, or approximately US$1.05 per Ordinary Share. This represents an immediate increase in net tangible book value of US$0.55 per Ordinary Share to our existing shareholders and an immediate decrease in net tangible book value of US$1.52 per Ordinary Share to HW. The as adjusted information discussed above is illustrative only. The following table illustrates this dilution on a per Ordinary Share basis: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76"/>
        <w:gridCol w:w="60"/>
        <w:gridCol w:w="308"/>
        <w:gridCol w:w="60"/>
        <w:gridCol w:w="425"/>
        <w:gridCol w:w="76"/>
      </w:tblGrid>
      <w:tr>
        <w:trPr/>
        <w:tc>
          <w:tcPr>
            <w:tcW w:w="92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Assumed public offering price per Ordinary Share</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2.57 </w:t>
            </w:r>
          </w:p>
        </w:tc>
        <w:tc>
          <w:tcPr>
            <w:tcW w:w="76" w:type="dxa"/>
            <w:tcBorders/>
            <w:shd w:fill="CCEEFF" w:val="clear"/>
            <w:vAlign w:val="center"/>
          </w:tcPr>
          <w:p>
            <w:pPr>
              <w:pStyle w:val="TableContents"/>
              <w:bidi w:val="0"/>
              <w:spacing w:before="0" w:after="283"/>
              <w:jc w:val="left"/>
              <w:rPr/>
            </w:pPr>
            <w:r>
              <w:rPr/>
              <w:t> </w:t>
            </w:r>
          </w:p>
        </w:tc>
      </w:tr>
      <w:tr>
        <w:trPr/>
        <w:tc>
          <w:tcPr>
            <w:tcW w:w="9276" w:type="dxa"/>
            <w:tcBorders/>
            <w:shd w:fill="FFFFFF" w:val="clear"/>
            <w:vAlign w:val="center"/>
          </w:tcPr>
          <w:p>
            <w:pPr>
              <w:pStyle w:val="TableContents"/>
              <w:bidi w:val="0"/>
              <w:spacing w:before="0" w:after="283"/>
              <w:jc w:val="both"/>
              <w:rPr/>
            </w:pPr>
            <w:r>
              <w:rPr>
                <w:rFonts w:ascii="Times New Roman;Times;Serif" w:hAnsi="Times New Roman;Times;Serif"/>
                <w:sz w:val="20"/>
              </w:rPr>
              <w:t xml:space="preserve">Net </w:t>
            </w:r>
            <w:r>
              <w:rPr>
                <w:sz w:val="20"/>
              </w:rPr>
              <w:t>pro forma tangible book value per Ordinary Share as of December 31, 2025, after giving effect to the sales of 25,000,000 Ordinary Shares in June 2026 and issuance of 5,300,000 Ordinary shares to certain consultants in June 2026</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rFonts w:ascii="Times New Roman;Times;Serif" w:hAnsi="Times New Roman;Times;Serif"/>
                <w:sz w:val="20"/>
              </w:rPr>
              <w:t>0.</w:t>
            </w:r>
            <w:r>
              <w:rPr>
                <w:sz w:val="20"/>
              </w:rPr>
              <w:t>50 </w:t>
            </w:r>
          </w:p>
        </w:tc>
        <w:tc>
          <w:tcPr>
            <w:tcW w:w="76" w:type="dxa"/>
            <w:tcBorders/>
            <w:shd w:fill="FFFFFF" w:val="clear"/>
            <w:vAlign w:val="center"/>
          </w:tcPr>
          <w:p>
            <w:pPr>
              <w:pStyle w:val="TableContents"/>
              <w:bidi w:val="0"/>
              <w:spacing w:before="0" w:after="283"/>
              <w:jc w:val="left"/>
              <w:rPr/>
            </w:pPr>
            <w:r>
              <w:rPr/>
              <w:t> </w:t>
            </w:r>
          </w:p>
        </w:tc>
      </w:tr>
      <w:tr>
        <w:trPr/>
        <w:tc>
          <w:tcPr>
            <w:tcW w:w="92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per Ordinary Share attributable to existing investors under this prospectus supplement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rFonts w:ascii="Times New Roman;Times;Serif" w:hAnsi="Times New Roman;Times;Serif"/>
                <w:sz w:val="20"/>
              </w:rPr>
              <w:t>0.</w:t>
            </w:r>
            <w:r>
              <w:rPr>
                <w:sz w:val="20"/>
              </w:rPr>
              <w:t>55 </w:t>
            </w:r>
          </w:p>
        </w:tc>
        <w:tc>
          <w:tcPr>
            <w:tcW w:w="76" w:type="dxa"/>
            <w:tcBorders/>
            <w:shd w:fill="CCEEFF" w:val="clear"/>
            <w:vAlign w:val="center"/>
          </w:tcPr>
          <w:p>
            <w:pPr>
              <w:pStyle w:val="TableContents"/>
              <w:bidi w:val="0"/>
              <w:spacing w:before="0" w:after="283"/>
              <w:jc w:val="left"/>
              <w:rPr/>
            </w:pPr>
            <w:r>
              <w:rPr/>
              <w:t> </w:t>
            </w:r>
          </w:p>
        </w:tc>
      </w:tr>
      <w:tr>
        <w:trPr/>
        <w:tc>
          <w:tcPr>
            <w:tcW w:w="927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adjusted net tangible book value per Ordinary Share after this offering</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1.05 </w:t>
            </w:r>
          </w:p>
        </w:tc>
        <w:tc>
          <w:tcPr>
            <w:tcW w:w="76" w:type="dxa"/>
            <w:tcBorders/>
            <w:shd w:fill="FFFFFF" w:val="clear"/>
            <w:vAlign w:val="center"/>
          </w:tcPr>
          <w:p>
            <w:pPr>
              <w:pStyle w:val="TableContents"/>
              <w:bidi w:val="0"/>
              <w:spacing w:before="0" w:after="283"/>
              <w:jc w:val="left"/>
              <w:rPr/>
            </w:pPr>
            <w:r>
              <w:rPr/>
              <w:t> </w:t>
            </w:r>
          </w:p>
        </w:tc>
      </w:tr>
      <w:tr>
        <w:trPr/>
        <w:tc>
          <w:tcPr>
            <w:tcW w:w="92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per Ordinary Share attributable to new investors under this prospectus supplement</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1.52 </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and discussion is based on 31,834,487 Ordinary Shares outstanding on a pro forma basis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We may receive up to US$</w:t>
      </w:r>
      <w:r>
        <w:rPr>
          <w:sz w:val="20"/>
        </w:rPr>
        <w:t>30,000,000 in aggregate gross proceeds under the Purchase Agreement from any sales we make to HW pursuant to the Purchase Agreement after the date of this prospectus supplement. We may sell fewer than all of the Ordinary Shares offered by this prospectus supplement, in which case our offering proceeds will be less. Because we are not obligated to sell any Ordinary Shares under the Purchase Agreement, other than the Commitment Shares (from which we will receive no proceeds), the actual total offering amount and proceeds to us, if any, are not determinable at this time. There can be no assurance that we will receive any proceeds under or fully utilize the Purchase Agreement. See “Plan of Distribution” elsewhere in this prospectus supplement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use of proceeds will vary depending on a number of factors, including the amount of cash generated or used by our operations, and the rate of growth, if any, of our business. As a result, we will retain broad discretion in the allocation of the net proceeds of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net proceeds we receive from this offering are not immediately applied for the above purposes, we plan to invest the net proceeds in bank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utilizing the proceeds from this offering, as an offshore holding company, we are permitted under PRC laws and regulations to provide funding to our PRC subsidiaries only through loans or capital contributions, subject to applicable government registration and approvals. Subject to satisfaction of applicable government reporting, registration and approval requirements, we may extend intercompany loans to our wholly foreign-owned subsidiary in China or make additional capital contributions to our wholly-foreign-owned subsidiary to fund its capital expenditures or working capital. For an increase in registered capital of our wholly foreign-owned subsidiary, we need to make a filing at the local Market Regulation Bureau to register the increased capital and submit a report of such modification information to the Ministry of Commerce or its local counterparts through the Enterprise Registration System. If we provide funding to our wholly foreign-owned subsidiary through loans, the total amount of such loans may not exceed either (1) the difference between the entity’s total investment as approved by the foreign investment authorities and its registered capital, or (2) such amount as calculated based on certain benchmarks, including capital or net assets and the cross-border financing leverage ratio. Such loans must be registered with the local counterpart of SAFE within 15 days immediately following the execution of the loan agreement as required by the SAFE regulations. We cannot assure you that we will be able to obtain these government registrations or approvals on a timely basis, if at all. Any failure will delay or prevent us from applying the net proceeds from this offering to our PRC subsidiary and affiliated entities. See “Risk Factors—Risks Related to Doing Business in China—PRC regulation of loans to PRC entities by offshore holding companies and governmental control of currency conversion may delay or prevent us from using proceeds from our future financing activities to make loans to our PRC operating subsidiaries, which might adversely affect our liquidity and our ability to fund and expand our business” on pages 33 and 34 of the accompanying prospectus and page 29 of our annual report on Form 20-F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and our affairs are governed by our amended and restated memorandum and articles of association, as amended and restated from time to time, and Companies Act (As Revised) of the Cayman Islands (the “Companies Act” or the “Cayman Companies Act”), and the common law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our authorized share capital was US$9,600,000 divided into 1,000,000,000 Ordinary Shares of a par value US$0.0096 each. As of the date of this prospectus supplement, there are 31,834,487 Ordinary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Amended and Restated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Amended and Restated Memorandum and Articles of Association and the Companies Act insofar as they relate to the material terms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w:t>
      </w:r>
      <w:r>
        <w:rPr>
          <w:rFonts w:ascii="Times New Roman;Times;Serif" w:hAnsi="Times New Roman;Times;Serif"/>
          <w:b w:val="false"/>
          <w:i w:val="false"/>
          <w:caps w:val="false"/>
          <w:smallCaps w:val="false"/>
          <w:sz w:val="20"/>
        </w:rPr>
        <w:t>Our Ordinary Shares are fully paid and non-assessable. Certificates representing the Ordinary Shares are issued in registered form. Our shareholders who are non-residents of the Cayman Islands may freely hold and vote their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attaching to any class or classes of shares under and in accordance with the articles:</w:t>
      </w:r>
    </w:p>
    <w:p>
      <w:pPr>
        <w:pStyle w:val="TextBody"/>
        <w:bidi w:val="0"/>
        <w:spacing w:before="0" w:after="283"/>
        <w:jc w:val="left"/>
        <w:rPr/>
      </w:pPr>
      <w:r>
        <w:rPr/>
        <w:t> </w:t>
      </w:r>
    </w:p>
    <w:tbl>
      <w:tblPr>
        <w:tblW w:w="9873" w:type="dxa"/>
        <w:jc w:val="left"/>
        <w:tblInd w:w="0" w:type="dxa"/>
        <w:tblLayout w:type="fixed"/>
        <w:tblCellMar>
          <w:top w:w="0" w:type="dxa"/>
          <w:left w:w="0" w:type="dxa"/>
          <w:bottom w:w="0" w:type="dxa"/>
          <w:right w:w="0" w:type="dxa"/>
        </w:tblCellMar>
      </w:tblPr>
      <w:tblGrid>
        <w:gridCol w:w="38"/>
        <w:gridCol w:w="23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dividends or distributions out of our funds which are lawfully available for that purpose;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shareholders may, by ordinary resolution, declare dividends but no such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Cayman Companies Act regarding the application of a company’s share premium account and with the sanction of an ordinary resolution, dividends may also be declared and paid out of the funds of our Company lawfully available therefor. The directors when paying dividends to shareholders may make such payment either in cash or in specie.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unless any share carries special voting rights, on a show of hands every shareholder who is present in person and every person representing a shareholder by proxy shall have one vote per Ordinary Share. On a poll, every shareholder who is present in person and every person representing a shareholder by proxy shall have one vote for each share of which he or the person represented by proxy is the holder. In addition, all shareholders holding shares of a particular re entitled to vote at a meeting of the holders of that class of shares. Votes may be given either personally or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attaching to any class of share (unless otherwise provided by the terms of issue of the shares of that class) may be varied with the consent in writing of all of the holders of the issued shares of that class or with the sanction of a special resolution passed at a separate meeting of the holders of the shares of that class.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the existing shares of that class or subsequent to them or the redemption or purchase of any shares of any class by our company. The rights conferred upon the holders of the shares of any class issued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Alteration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our shareholders may, by ordinary resolution: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our share capital by new shares of the amount fixed by that ordinary resolution and with the attached rights, priorities and privileges set out in that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 than our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any rights for the time being conferred on the shareholders holding a particular class of shares, our shareholders may, by special resolution, reduce its share capital and any capital redemption reserve in any manner authorized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Cayman Companies Act, pass a special resolution allowing the liquidator to do either or both of the following:</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shareholders and those liable to contribute to the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Shares and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calendar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at their discretion, waive payment of the interest wholly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283"/>
        <w:jc w:val="left"/>
        <w:rPr/>
      </w:pPr>
      <w:r>
        <w:rPr/>
        <w:t> </w:t>
      </w:r>
    </w:p>
    <w:tbl>
      <w:tblPr>
        <w:tblW w:w="8290" w:type="dxa"/>
        <w:jc w:val="left"/>
        <w:tblInd w:w="0" w:type="dxa"/>
        <w:tblLayout w:type="fixed"/>
        <w:tblCellMar>
          <w:top w:w="0" w:type="dxa"/>
          <w:left w:w="0" w:type="dxa"/>
          <w:bottom w:w="0" w:type="dxa"/>
          <w:right w:w="0" w:type="dxa"/>
        </w:tblCellMar>
      </w:tblPr>
      <w:tblGrid>
        <w:gridCol w:w="75"/>
        <w:gridCol w:w="230"/>
        <w:gridCol w:w="79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alone or jointly with any other person, whether or not that other person is a shareholder; and</w:t>
            </w:r>
          </w:p>
        </w:tc>
      </w:tr>
    </w:tbl>
    <w:p>
      <w:pPr>
        <w:pStyle w:val="TextBody"/>
        <w:bidi w:val="0"/>
        <w:spacing w:before="0" w:after="283"/>
        <w:jc w:val="left"/>
        <w:rPr/>
      </w:pPr>
      <w:r>
        <w:rPr/>
        <w:t> </w:t>
      </w:r>
    </w:p>
    <w:tbl>
      <w:tblPr>
        <w:tblW w:w="4450" w:type="dxa"/>
        <w:jc w:val="left"/>
        <w:tblInd w:w="0" w:type="dxa"/>
        <w:tblLayout w:type="fixed"/>
        <w:tblCellMar>
          <w:top w:w="0" w:type="dxa"/>
          <w:left w:w="0" w:type="dxa"/>
          <w:bottom w:w="0" w:type="dxa"/>
          <w:right w:w="0" w:type="dxa"/>
        </w:tblCellMar>
      </w:tblPr>
      <w:tblGrid>
        <w:gridCol w:w="75"/>
        <w:gridCol w:w="245"/>
        <w:gridCol w:w="41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or not those monies are presently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14 days of the date or other longer period as specified in the notice on which the notice is deemed to be given under the articles, such notice has not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Unclaimed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Forfeiture or Surrender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capital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 but his liability shall cease if and when we receive payment in full of the unpaid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Premium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and shall carry the credit of such account from time to time to a sum equal to the amount or value of the premium paid on the issue of any share or capital contributed or such other amounts required by the Cayman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and Purchase of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any rights for the time being conferred on the shareholders holding a particular class of shares, we may by action of our directors: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liable to be redeemed, at our option or the shareholder holding those redeemable shares, on the terms and in the manner our directors determine before the issue of those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its own shares in any manner authorized by the Cayman Companies Act, including out of any combination of capital, our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transfer of Ordinary Shares complies with applicable rules of Nasdaq, a shareholder may transfer Ordinary Shares to another person by completing an instrument of transfer in a common form or in a form prescribed by Nasdaq or in any other form approved by the directors, executed:</w:t>
      </w:r>
    </w:p>
    <w:p>
      <w:pPr>
        <w:pStyle w:val="TextBody"/>
        <w:bidi w:val="0"/>
        <w:jc w:val="both"/>
        <w:rPr/>
      </w:pPr>
      <w:r>
        <w:rPr/>
        <w:t> </w:t>
      </w:r>
    </w:p>
    <w:tbl>
      <w:tblPr>
        <w:tblW w:w="6865" w:type="dxa"/>
        <w:jc w:val="left"/>
        <w:tblInd w:w="0" w:type="dxa"/>
        <w:tblLayout w:type="fixed"/>
        <w:tblCellMar>
          <w:top w:w="0" w:type="dxa"/>
          <w:left w:w="0" w:type="dxa"/>
          <w:bottom w:w="0" w:type="dxa"/>
          <w:right w:w="0" w:type="dxa"/>
        </w:tblCellMar>
      </w:tblPr>
      <w:tblGrid>
        <w:gridCol w:w="75"/>
        <w:gridCol w:w="230"/>
        <w:gridCol w:w="656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fully paid, by or on behalf of that shareholder; and</w:t>
            </w:r>
          </w:p>
        </w:tc>
      </w:tr>
    </w:tbl>
    <w:p>
      <w:pPr>
        <w:pStyle w:val="TextBody"/>
        <w:bidi w:val="0"/>
        <w:jc w:val="both"/>
        <w:rPr/>
      </w:pPr>
      <w:r>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partly paid, by or on behalf of that shareholder and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an Ordinary Share until the name of the transferee is entered into the register of members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Nasdaq, 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both"/>
              <w:rPr/>
            </w:pPr>
            <w:r>
              <w:rPr/>
              <w:t> </w:t>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jc w:val="both"/>
        <w:rPr/>
      </w:pPr>
      <w:r>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Shares are to be transferred does not exceed four;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both"/>
              <w:rPr/>
            </w:pPr>
            <w:r>
              <w:rPr/>
              <w:t> </w:t>
            </w:r>
          </w:p>
        </w:tc>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Nasdaq may determine to be payable, or such lesser sum as the Directors may from time to time require, is paid to the Company in respect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two months after the date on which the instrument of transfer was lodged, to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prior notice being given in compliance with the applicable rules of Nasdaq, be suspended and our register of members closed at such times and for such periods as our board of directors may from time to time determine. The registration of transfers, however, may not be suspended, and the register of members may not be closed, for more than 30 calendar days in any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Cayman Companies Act to inspect or obtain copies of our register of members or our corporate records (other than the memorandum and the articles,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Companies Act to call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two or more of the shareholders entitled to attend and vote at our general meetings who (together) hold not less than one-third (1/3) of the rights to vote at such general meeting in accordance with the notice provisions in the articles,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7 calendar days’ notice of general meetings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with the consent of the shareholders who, individually or collectively, hold at least two-thirds (2/3rd) of the voting rights of all those who have a right to vote in the case of an extraordinary general meeting, and by all the shareholders in the case of an annual general meeting, a general meeting may be convened on shorter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half an hour from the time appointed for the meeting a quorum is not present, the meeting shall be dissolved.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fourteen calendar days or more, notice of the adjourned meeting shall be given as in the case of an original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is (before, or on, the declaration of the result of the show of hands) demanded by the chairman of the meeting or by any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the result of the poll shall be deemed to be the resolution of the meeting at which the poll was demanded.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Exempted Company.</w:t>
      </w:r>
      <w:r>
        <w:rPr>
          <w:rFonts w:ascii="Times New Roman;Times;Serif" w:hAnsi="Times New Roman;Times;Serif"/>
          <w:b w:val="false"/>
          <w:i w:val="false"/>
          <w:caps w:val="false"/>
          <w:smallCaps w:val="false"/>
          <w:sz w:val="20"/>
        </w:rPr>
        <w:t xml:space="preserve"> We are an exempted company with limited liability incorporated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95"/>
        <w:gridCol w:w="728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283"/>
        <w:jc w:val="left"/>
        <w:rPr/>
      </w:pPr>
      <w:r>
        <w:rPr/>
        <w:t> </w:t>
      </w:r>
    </w:p>
    <w:tbl>
      <w:tblPr>
        <w:tblW w:w="5125" w:type="dxa"/>
        <w:jc w:val="left"/>
        <w:tblInd w:w="0" w:type="dxa"/>
        <w:tblLayout w:type="fixed"/>
        <w:tblCellMar>
          <w:top w:w="0" w:type="dxa"/>
          <w:left w:w="0" w:type="dxa"/>
          <w:bottom w:w="0" w:type="dxa"/>
          <w:right w:w="0" w:type="dxa"/>
        </w:tblCellMar>
      </w:tblPr>
      <w:tblGrid>
        <w:gridCol w:w="75"/>
        <w:gridCol w:w="95"/>
        <w:gridCol w:w="495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95"/>
        <w:gridCol w:w="40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95"/>
        <w:gridCol w:w="288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issue shares with no par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30 years in the first instance);</w:t>
            </w:r>
          </w:p>
        </w:tc>
      </w:tr>
    </w:tbl>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95"/>
        <w:gridCol w:w="834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95"/>
        <w:gridCol w:w="39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95"/>
        <w:gridCol w:w="389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in the United States is Transhare Corporation, with a mailing address of Bayside Center 1, 17755 North US Highway 19, Suite #140, Clearwater, FL 33764.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Nasdaq under the symbol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shareholders by ordinary resolution, the directors shall be entitled to such remuneration as the directors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our shareholders by ordinary resolution and unless and until so fixed no share qualification shall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removed or re-appointed, each director shall be appointed for a term expiring at the next-following annual general meeting, if one is held. At any annual general meeting held, our directors will be elected by an ordinary resolution of our shareholders. At each annual general meeting, each director so elected shall hold office until the expiration of his or her term or until the election of their respective successors in office or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or retire from office by giving us notice in writing. Unless the notice specifies a different date, the director shall be deemed to have resigned on the date that the notice is delivered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230"/>
        <w:gridCol w:w="6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is prohibited by the laws of the Cayman Islands from acting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245"/>
        <w:gridCol w:w="7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is made bankrupt or makes an arrangement or composition with his/her creditors generally;</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230"/>
        <w:gridCol w:w="3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resigns his/her office by notice to us;</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only held office as a director for a fixed term and such term expires;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he/she is being treated he becomes physically or mentally incapable of acting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200"/>
        <w:gridCol w:w="4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is removed from office pursuant to the articles;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245"/>
        <w:gridCol w:w="9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He/she is made subject to any law relating to mental health or incompetence, whether by court order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45"/>
        <w:gridCol w:w="9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he/she is absent from meetings of directors for three consecutive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Amended and Restated Memorandum and Articles of Association, our business shall be managed by the directors, who may exercise all our powers. No prior act of the directors shall be invalidated by any subsequent alteration of our memorandum or articles of association. To the extent allowed by the Cayman Companies Act, however, shareholders may by special resolution validate any prior or future act of the directors which would otherwise be in breach of their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Our board of directors has established an audit committee, compensation committee, and nomination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remove any person so appointed and may revoke or vary the delegation.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as a director, vote in respect of any contract, transaction, arrangement or proposal in which he has an interest which (together with any interest of any person connected with him) is a material interest (otherwise than by virtue of his interests, direct or indirect, in shares or debentures or other securities of, or otherwise in or through, us) and if he shall do so his vote shall not be counted, nor in relation thereto shall he be counted in the quorum present at the meeting, but (in the absence of some other material interest than is mentioned below) none of these prohibitions shall apply to:</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230"/>
        <w:gridCol w:w="5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60"/>
        <w:gridCol w:w="20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our benefit or any of our subsidiaries;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29"/>
        <w:gridCol w:w="98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ours or any of our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or any of our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percent or more of any class of the equity share capital of such body corporate (or of any third body corporate through which his interest is derived) or of the voting rights available to shareholders of the relevant body corporate;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us or any of our subsidiaries under which he is not accorded as a director any privilege or advantage not generally accorded to the employees to whom such arrangement relates;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Cayman Companies Act) indemnities in favor of directors, the funding of expenditure by one or more directors in defending proceedings against him or them or the doing of anything to enable such director or directors to avoid incurring such expenditure.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our profits not required for paying any preferential dividend (whether or not those profits are available for distribution); or</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245"/>
        <w:gridCol w:w="7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our share premium account or capital redemption reserve,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we must keep a register of members and there should be entered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our shareholders, together with a statement of the shares held by each shareholder, and such statement shall confirm (i) the amount paid or agreed to be considered as paid, on the shares of each shareholder; (ii) the number and category of shares held by each member, and (iii) whether each relevant category of shares held by a member carries voting rights under the articles of association of the company, and if so, whether such voting rights are conditional;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5" w:type="dxa"/>
            <w:tcBorders/>
            <w:vAlign w:val="center"/>
          </w:tcPr>
          <w:p>
            <w:pPr>
              <w:pStyle w:val="TableContents"/>
              <w:bidi w:val="0"/>
              <w:spacing w:before="0" w:after="283"/>
              <w:jc w:val="both"/>
              <w:rPr>
                <w:caps w:val="false"/>
                <w:smallCaps w:val="false"/>
              </w:rPr>
            </w:pPr>
            <w:r>
              <w:rPr>
                <w:caps w:val="false"/>
                <w:smallCaps w:val="false"/>
              </w:rPr>
              <w:t> </w:t>
            </w:r>
          </w:p>
        </w:tc>
        <w:tc>
          <w:tcPr>
            <w:tcW w:w="10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shareholder;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5" w:type="dxa"/>
            <w:tcBorders/>
            <w:vAlign w:val="center"/>
          </w:tcPr>
          <w:p>
            <w:pPr>
              <w:pStyle w:val="TableContents"/>
              <w:bidi w:val="0"/>
              <w:spacing w:before="0" w:after="283"/>
              <w:jc w:val="both"/>
              <w:rPr>
                <w:caps w:val="false"/>
                <w:smallCaps w:val="false"/>
              </w:rPr>
            </w:pPr>
            <w:r>
              <w:rPr>
                <w:caps w:val="false"/>
                <w:smallCaps w:val="false"/>
              </w:rPr>
              <w:t> </w:t>
            </w:r>
          </w:p>
        </w:tc>
        <w:tc>
          <w:tcPr>
            <w:tcW w:w="10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5" w:type="dxa"/>
            <w:tcBorders/>
            <w:vAlign w:val="center"/>
          </w:tcPr>
          <w:p>
            <w:pPr>
              <w:pStyle w:val="TableContents"/>
              <w:bidi w:val="0"/>
              <w:spacing w:before="0" w:after="283"/>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Cayman Companies Act to have legal title to the shares as set against its name in the 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England. In addition, the Cayman Companies Act differs from laws applicable to United States corporations and their shareholders. Set forth below is a summary of certain significant differences between the provisions of the Cayman Companies Act applicable to us and the comparable laws applicable to companies incorporated in the State of Delaware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6"/>
        <w:gridCol w:w="60"/>
        <w:gridCol w:w="3450"/>
        <w:gridCol w:w="60"/>
        <w:gridCol w:w="5119"/>
      </w:tblGrid>
      <w:tr>
        <w:trPr/>
        <w:tc>
          <w:tcPr>
            <w:tcW w:w="1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5119"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Cayman Islands</w:t>
            </w:r>
          </w:p>
        </w:tc>
      </w:tr>
      <w:tr>
        <w:trPr/>
        <w:tc>
          <w:tcPr>
            <w:tcW w:w="151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of Organizational Documents</w:t>
            </w:r>
          </w:p>
        </w:tc>
        <w:tc>
          <w:tcPr>
            <w:tcW w:w="60" w:type="dxa"/>
            <w:tcBorders/>
            <w:vAlign w:val="center"/>
          </w:tcPr>
          <w:p>
            <w:pPr>
              <w:pStyle w:val="TableContents"/>
              <w:bidi w:val="0"/>
              <w:spacing w:before="0" w:after="283"/>
              <w:jc w:val="left"/>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Bylaws</w:t>
            </w:r>
          </w:p>
        </w:tc>
        <w:tc>
          <w:tcPr>
            <w:tcW w:w="60"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Memorandum and Articles of Association</w:t>
            </w:r>
          </w:p>
        </w:tc>
      </w:tr>
      <w:tr>
        <w:trPr/>
        <w:tc>
          <w:tcPr>
            <w:tcW w:w="151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Duties of Directors</w:t>
            </w:r>
          </w:p>
        </w:tc>
        <w:tc>
          <w:tcPr>
            <w:tcW w:w="60" w:type="dxa"/>
            <w:tcBorders/>
            <w:vAlign w:val="center"/>
          </w:tcPr>
          <w:p>
            <w:pPr>
              <w:pStyle w:val="TableContents"/>
              <w:bidi w:val="0"/>
              <w:spacing w:before="0" w:after="283"/>
              <w:jc w:val="left"/>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if a duty owed by any of our directors is breached.’</w:t>
            </w:r>
          </w:p>
        </w:tc>
      </w:tr>
      <w:tr>
        <w:trPr/>
        <w:tc>
          <w:tcPr>
            <w:tcW w:w="151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Limitations on Personal Liability of Directors</w:t>
            </w:r>
          </w:p>
        </w:tc>
        <w:tc>
          <w:tcPr>
            <w:tcW w:w="60" w:type="dxa"/>
            <w:tcBorders/>
            <w:vAlign w:val="center"/>
          </w:tcPr>
          <w:p>
            <w:pPr>
              <w:pStyle w:val="TableContents"/>
              <w:bidi w:val="0"/>
              <w:spacing w:before="0" w:after="283"/>
              <w:jc w:val="left"/>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tc>
      </w:tr>
      <w:tr>
        <w:trPr/>
        <w:tc>
          <w:tcPr>
            <w:tcW w:w="1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283"/>
              <w:jc w:val="both"/>
              <w:rPr/>
            </w:pPr>
            <w:r>
              <w:rPr/>
              <w:t> </w:t>
            </w:r>
          </w:p>
        </w:tc>
      </w:tr>
      <w:tr>
        <w:trPr/>
        <w:tc>
          <w:tcPr>
            <w:tcW w:w="1516" w:type="dxa"/>
            <w:tcBorders/>
            <w:vAlign w:val="center"/>
          </w:tcPr>
          <w:p>
            <w:pPr>
              <w:pStyle w:val="TableContents"/>
              <w:bidi w:val="0"/>
              <w:spacing w:before="0" w:after="283"/>
              <w:jc w:val="left"/>
              <w:rPr/>
            </w:pPr>
            <w:r>
              <w:rPr/>
              <w:t> </w:t>
            </w:r>
            <w:r>
              <w:rPr>
                <w:rFonts w:ascii="Times New Roman;Times;Serif" w:hAnsi="Times New Roman;Times;Serif"/>
                <w:i/>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left"/>
              <w:rPr/>
            </w:pPr>
            <w:r>
              <w:rPr/>
              <w:t> </w:t>
            </w:r>
          </w:p>
        </w:tc>
        <w:tc>
          <w:tcPr>
            <w:tcW w:w="51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S-38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9"/>
        <w:gridCol w:w="60"/>
        <w:gridCol w:w="7278"/>
        <w:gridCol w:w="60"/>
        <w:gridCol w:w="1888"/>
      </w:tblGrid>
      <w:tr>
        <w:trPr/>
        <w:tc>
          <w:tcPr>
            <w:tcW w:w="91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Interested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2716"/>
        <w:gridCol w:w="60"/>
        <w:gridCol w:w="6151"/>
      </w:tblGrid>
      <w:tr>
        <w:trPr/>
        <w:tc>
          <w:tcPr>
            <w:tcW w:w="121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Requirements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9"/>
        <w:gridCol w:w="60"/>
        <w:gridCol w:w="5446"/>
        <w:gridCol w:w="60"/>
        <w:gridCol w:w="3080"/>
      </w:tblGrid>
      <w:tr>
        <w:trPr/>
        <w:tc>
          <w:tcPr>
            <w:tcW w:w="155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for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defines “special resolutions” only. A company’s memorandum and articles of association can therefore tailor the definition of “ordinary resolutions” as a whole, or with respect to specific provisions.</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for the election of directors unless so provided in the memorandum and articles of association.</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Powers Regarding Bylaws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grant the directors the power to adopt, amend or repeal bylaws.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may only be amended by a special resolution of the shareholders.</w:t>
            </w:r>
          </w:p>
        </w:tc>
      </w:tr>
      <w:tr>
        <w:trPr/>
        <w:tc>
          <w:tcPr>
            <w:tcW w:w="15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Nomination and Removal of Directors and Filling Vacancies on Board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 and removal of directors and filling of board vacancies are governed by the terms of the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6"/>
        <w:gridCol w:w="60"/>
        <w:gridCol w:w="3050"/>
        <w:gridCol w:w="60"/>
        <w:gridCol w:w="5799"/>
      </w:tblGrid>
      <w:tr>
        <w:trPr/>
        <w:tc>
          <w:tcPr>
            <w:tcW w:w="1236"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exchange or sale of all or substantially all the assets of a corporation must be approved by the board of directors and a majority of the outstanding shares entitled to vote thereon. Under Delaware law, a shareholder of a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corporation, by resolution of its board of directors, may merge with any subsidiary, of which it owns at least 90% of each class of capital stock without a vote by shareholders of such subsidiary. Upon any such merger, dissenting shareholders of the subsidiary would have appraisal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0"/>
              <w:ind w:left="5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(a) the statutory provisions as to the required majority vote have been met; (b) the shareholders have been fairly represented at the meeting in question and the statutory majority are acting bona fide without coercion of the minority to promote interests adverse to those of the class; (c) the arrangement is such that may be reasonably approved by an intelligent and honest man of that class acting in respect of his interest; and (d) the arrangement is not one that would more properly be sanctioned under some other provision of the Cayman Companies Act.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90% in value of the shares for which the offer has been made, the offeror may, within a two-month period after the approval by the said holders ,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takeover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S-42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82"/>
        <w:gridCol w:w="60"/>
        <w:gridCol w:w="2829"/>
        <w:gridCol w:w="60"/>
        <w:gridCol w:w="6174"/>
      </w:tblGrid>
      <w:tr>
        <w:trPr/>
        <w:tc>
          <w:tcPr>
            <w:tcW w:w="1082"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Suits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 an act which is illegal or ultra vires with respect to the company and is therefore incapable of ratification by the shareholders; (b) an act which, although not ultra vires, requires authorization by a qualified (or special) majority (that is, more than a simple majority) which has not been obtained; and (c) an act which constitutes a “fraud on the minority” where the wrongdoers are themselves in control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1"/>
        <w:gridCol w:w="60"/>
        <w:gridCol w:w="2371"/>
        <w:gridCol w:w="60"/>
        <w:gridCol w:w="6583"/>
      </w:tblGrid>
      <w:tr>
        <w:trPr/>
        <w:tc>
          <w:tcPr>
            <w:tcW w:w="113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Inspection of Corporate Records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shareholders of a Delaware corporation have the right during normal business hours to inspect for any proper purpose, and to obtain copies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a Cayman Islands exempted company have no general right under Cayman Islands law to inspect or obtain copies of register of members or other corporate records (other than the memorandum and articles of association and any special resolutions passed by such companies, and the registers of mortgages and charges of such companies of the company. Under Cayman Island law, the names of our current directors can be obtained from a search conducted at the Registrar of Companies. However, these rights may be provided in the company’s memorandum and articles of association.</w:t>
            </w:r>
          </w:p>
        </w:tc>
      </w:tr>
      <w:tr>
        <w:trPr/>
        <w:tc>
          <w:tcPr>
            <w:tcW w:w="113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in the corporation’s certificate of incorporation or bylaws, Delaware law does not include a provision restricting the manner in which shareholders may bring business before a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provide that general meetings shall be convened on the written requisition of one or more of the shareholders entitled to attend and vote at our general meetings who (together) hold not less than 10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twenty-one clear days’ after the date of receipt of the written requisition, those shareholders who requested the meeting may convene the general meeting themselves within three months after the end of such period of twenty-one clear days in which case reasonable expenses incurred by them as a result of the directors failing to convene a meeting shall be reimbursed by us. Our articles provide no other right to put any proposals before annual general meetings or extraordinary general meetings. As a Cayman Islands exempted company, we are not obligated by law to call shareholders’ annual general meetings. However, our corporate governance guidelines require us to call such meetings every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8"/>
        <w:gridCol w:w="60"/>
        <w:gridCol w:w="3246"/>
        <w:gridCol w:w="60"/>
        <w:gridCol w:w="5531"/>
      </w:tblGrid>
      <w:tr>
        <w:trPr/>
        <w:tc>
          <w:tcPr>
            <w:tcW w:w="130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Approval of Corporate Matters by Written Consent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shareholders to take action by written consent signed by the holders of outstanding shares having not less than the minimum number of votes that would be necessary to authorize or take such action at a meeting of 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allows a special resolution to be passed in writing if signed by all the voting shareholders (if authorized by the memorandum and articles of association).</w:t>
            </w:r>
          </w:p>
        </w:tc>
      </w:tr>
      <w:tr>
        <w:trPr/>
        <w:tc>
          <w:tcPr>
            <w:tcW w:w="130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Calling of Special Shareholders Meetings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does not have provisions governing the proceedings of shareholders meetings which are usually provided in the memorandum and articles of association. Please see above.</w:t>
            </w:r>
          </w:p>
        </w:tc>
      </w:tr>
      <w:tr>
        <w:trPr/>
        <w:tc>
          <w:tcPr>
            <w:tcW w:w="130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or is likely to become unable to pay its debts;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intends to present a compromise or arrangement to its creditors (or classes thereof) either pursuant to the Companies Act, the law of a foreign country or by way of a consensual restructuring.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ableContents"/>
              <w:bidi w:val="0"/>
              <w:spacing w:before="0" w:after="0"/>
              <w:ind w:left="0" w:right="0" w:firstLine="45"/>
              <w:jc w:val="both"/>
              <w:rPr>
                <w:caps w:val="false"/>
                <w:smallCaps w:val="false"/>
              </w:rPr>
            </w:pPr>
            <w:r>
              <w:rPr>
                <w:caps w:val="false"/>
                <w:smallCaps w:val="false"/>
              </w:rPr>
              <w:t> </w:t>
            </w:r>
          </w:p>
        </w:tc>
      </w:tr>
      <w:tr>
        <w:trPr/>
        <w:tc>
          <w:tcPr>
            <w:tcW w:w="130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and our articles, the Company may be wound up by a special resolution of our shareholders, or if the winding up is initiated by our board of directors, by either a special resolution of our members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HW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we entered into a Purchase Agreement with HW. Pursuant to the terms of the Purchase Agreement, HW has agreed to purchase from us up to US$30,000,000 of Ordinary Shares (subject to certain limitations) from time to time during the term of the Purchase Agreement. Pursuant to the terms of the Purchase Agreement, we have filed with the SEC this prospectus supplement regarding the sale under the Securities Act of the Ordinary Shares issuable to HW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as consideration for HW’s commitment to purchase the Ordinary Shares, we will be issuing an aggregate of US$300,000 of Ordinary Shares to HW pursuant to the schedule under the Purchase Agreement, in which we shall issue to HW (1) 50% of the Commitment Shares after receipt by us of aggregate proceeds of at least US$5,000,000; and (2) 50% of the Commitment Shares after the receipt by us of aggregate gross proceeds of at least US$15,000,000. If HW crosses US$30,000,000 in purchase of Ordinary Shares, the Company will issue an additional US$300,000 of Ordinary Shares in addition to the Commitment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and at our sole discretion, direct HW to purchase the Ordinary Shares upon the satisfaction of certain conditions set forth in the Purchase Agreement at a purchase price per Ordinary Share based on the market price of the Ordinary Shares at the time of sale as computed under the Purchase Agreement. HW may not assign or transfer its rights and obligations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Ordinary Shares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at any time and from time to time during the period commencing on the Commencement Date (as defined in the Purchase Agreement) and ending on the earlier of (i) the date on which HW has cumulatively purchased a number of Purchase Notice Shares equal to $30,000,000 or (ii) the Maturity Date (as defined in the Purchase Agreement), we may direct HW, by written notices (the “Purchase Notices”), to purchase Ordinary Shares on such business days (or the purchase dates), provided that the number of the Ordinary Shares to be purchased on such purchase date pursuant to each Purchase Notice is subject to limits that vary by the type of purchase (in each case subject to waiver or increase by HW): (i) for a Predetermined Purchase, 15% of the average daily trading volume of the Ordinary Shares for the five Trading Days prior to HW’s receipt of the Predetermined Purchase Notice; (ii) for a Single Day Purchase, the lesser of (A) 35% of the three-day average daily trading volume of the Ordinary Shares or (B) the Investment Limit of US$5,000,000 divided by the highest Closing Sale Price of the Ordinary Shares over the most recent five Trading Days immediately preceding receipt of the applicable Purchase Notice; and (iii) for a VWAP Purchase, 150% of the average daily trading volume of the Ordinary Shares for the five Trading Days prior to HW’s receipt of the VWAP Purchase Notice. HW may waive such limit at any time to purchase additional shares under a Purchase Notice. The foregoing Ordinary Share amounts and per Ordinary Share prices will be adjusted for any reorganization, recapitalization, non-cash dividend, stock split, reverse stock split or other similar transaction occurring after the date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Ordinary Shares under each Purchase Notice will be determined as follows: (i) for a Predetermined Purchase, 85% of the lowest daily volume weighted average price (“VWAP”) of the Ordinary Shares over the five consecutive Trading Days ending on the applicable Purchase Notice date; (ii) for a VWAP Purchase, 97% of the lowest daily VWAP over the three consecutive Trading Days beginning on the applicable Purchase Notice date; and (iii) for a Single Day Purchase, the average of the three lowest traded prices of the Ordinary Shares on the applicable purchase date, in each case as reported on Nasdaq and as adjusted for any reorganization, recapitalization, non-cash dividend, share subdivision, share consolidation or other similar transaction. In no event will we sell Ordinary Shares under any Purchase Notice at a price below US$2.00 per share (the “Floor Price”). Unless we obtain shareholder approval, we will not issue Ordinary Shares under the Purchase Agreement to the extent the issuance would exceed 19.99% of the Ordinary Shares outstanding as of the date of the Purchase Agreement (the “Exchange Cap”), in accordance with Nasdaq Listing Rule 5635(d).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Termination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right, at any time after the Commencement Date, to terminate the Purchase Agreement for any reason or for no reason by delivering written notice to HW, provided that we have first satisfied all of our outstanding Purchase Notice Share and Commitment Share delivery obligations. Any such termination will be effective one Trading Day after HW’s receipt of the notice, without any cost or liability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Short-Selling or Hedging by HW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 has agreed that neither it nor any of its agents, representatives or affiliates shall engage in or effect any direct or indirect short-selling or hedging of the Ordinary Shares during any time prior to the termination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to be purchased by HW pursuant to a certain Purchase Notice shall not exceed the number of such shares that, when aggregated with all the other Ordinary Shares then beneficially owned by HW, would result in HW owning more than 4.99% of the Company’s outstanding Ordinary Shares, immediately after giving effect to the issuance of Ordinary Shares issuable pursuant to such Purchase Notice. The 4.99% beneficial ownership limitation may be increased to any percentage not in excess of 9.99% at HW’s election, effective on the 61st day after HW delivers written notice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Performance of the Purchase Agreement on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Ordinary Shares registered in this offering that have been or may be issued or sold by us to HW under the Purchase Agreement are expected to be freely tradable. The Ordinary Shares registered in this offering may be sold over a period commencing on the Commencement Date (as defined in the Purchase Agreement) and ending on the earlier of (1) the date on which HW shall have cumulatively purchased a number of Purchase Notice Shares pursuant to this Agreement equal to $30,000,000 or (ii) the Maturity Date (as defined in the Purchase Agreement), subject to the satisfaction of certain conditions set forth in the Purchase Agreement. The sale by HW of a significant number of the Ordinary Shares registered in this offering at any given time could cause the market price of the Ordinary Shares to decline and to be highly volatile. Sales of the Ordinary Shares to HW, if any, will depend upon market conditions and other factors to be determined by us. We may ultimately decide to sell to HW all, some or none of the additional Ordinary Shares that may be available for us to sell pursuant to the Purchase Agreement. If and when we do sell Ordinary Shares to HW, after HW has acquired the Ordinary Shares, HW may resell all, some or none of those Ordinary Shares at any time or from time to time in its discretion. Therefore, sales to HW by us under the Purchase Agreement may result in substantial dilution to the interests of other holders of the Ordinary Shares. In addition, if we sell a substantial number of the Ordinary Shares to HW under the Purchase Agreement, or if investors expect that we will do so, the actual sales of the Ordinary Shares or the mere existence of our arrangement with HW may make it more difficult for us to sell equity or equity-related securities in the future at a time and at a price that we might otherwise wish to effect such sales. However, we have the right to control the timing and amount of any additional sales of the Ordinary Shares to HW and the Purchase Agreement may be terminated by us at any time at our discretion without any cost to us, subject to the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we have the right, but not the obligation, to direct HW to purchase up to US$30,000,000 of the Ordinary Shares, exclusive of the US$300,000 of Commitment Shares to be issued to HW as consideration for its commitment to purchase the Ordinary Shares under the Purchase Agreement, subject to certain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gross proceeds we would receive from HW from our sale of the Ordinary Shares to HW under the Purchase Agreement at varying purchase prices:</w:t>
      </w:r>
    </w:p>
    <w:p>
      <w:pPr>
        <w:pStyle w:val="TextBody"/>
        <w:bidi w:val="0"/>
        <w:spacing w:before="0" w:after="0"/>
        <w:ind w:left="0" w:right="0" w:hanging="0"/>
        <w:jc w:val="left"/>
        <w:rPr>
          <w:caps w:val="false"/>
          <w:smallCaps w:val="false"/>
        </w:rPr>
      </w:pPr>
      <w:r>
        <w:rPr>
          <w:caps w:val="false"/>
          <w:smallCaps w:val="false"/>
        </w:rPr>
        <w:t> </w:t>
      </w:r>
    </w:p>
    <w:tbl>
      <w:tblPr>
        <w:tblW w:w="8722" w:type="dxa"/>
        <w:jc w:val="left"/>
        <w:tblInd w:w="0" w:type="dxa"/>
        <w:tblLayout w:type="fixed"/>
        <w:tblCellMar>
          <w:top w:w="0" w:type="dxa"/>
          <w:left w:w="0" w:type="dxa"/>
          <w:bottom w:w="28" w:type="dxa"/>
          <w:right w:w="0" w:type="dxa"/>
        </w:tblCellMar>
      </w:tblPr>
      <w:tblGrid>
        <w:gridCol w:w="1084"/>
        <w:gridCol w:w="465"/>
        <w:gridCol w:w="230"/>
        <w:gridCol w:w="60"/>
        <w:gridCol w:w="1382"/>
        <w:gridCol w:w="1382"/>
        <w:gridCol w:w="60"/>
        <w:gridCol w:w="60"/>
        <w:gridCol w:w="721"/>
        <w:gridCol w:w="723"/>
        <w:gridCol w:w="60"/>
        <w:gridCol w:w="60"/>
        <w:gridCol w:w="1180"/>
        <w:gridCol w:w="1180"/>
        <w:gridCol w:w="75"/>
      </w:tblGrid>
      <w:tr>
        <w:trPr/>
        <w:tc>
          <w:tcPr>
            <w:tcW w:w="15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Assumed Average</w:t>
              <w:br/>
              <w:t>Purchase Price</w:t>
            </w:r>
          </w:p>
        </w:tc>
        <w:tc>
          <w:tcPr>
            <w:tcW w:w="2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Registered Ordinary </w:t>
              <w:br/>
              <w:t>Shares</w:t>
              <w:br/>
              <w:t>to be Issued if Full</w:t>
              <w:br/>
              <w:t xml:space="preserve">Purchase </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Outstanding</w:t>
              <w:br/>
              <w:t>Ordinary Shares</w:t>
              <w:br/>
              <w:t>After Giving</w:t>
              <w:br/>
              <w:t>Effect to</w:t>
              <w:br/>
              <w:t>the Issuance</w:t>
              <w:br/>
              <w:t xml:space="preserve">to HW </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Proceeds</w:t>
              <w:br/>
              <w:t>to Us from the</w:t>
              <w:br/>
              <w:t>Sale of the Ordinary Shares</w:t>
              <w:br/>
              <w:t>to HW Under the</w:t>
              <w:br/>
              <w:t>Purchase Agreement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8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total number of Purchase Shares which we would have sold under the Purchase Agreement at the corresponding assumed average purchase price set forth in the first column, up to the aggregate purchase price of US$30,000,000, and excludes the Commitment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denominator is based on 31,834,487 Ordinary Shares outstanding as of the date of this prospectus supplement. The numerator is based on the total number of the Ordinary Shares outstanding, after taking into account Ordinary Shares issuable under the Purchase Agreement (that are the subject of this offering) at the corresponding assumed average purchase price set forth in the first column, which excludes the issuance of the Commitment Shares. The percentages here do not take into account the beneficial ownership limitation set forth in the Purchase Agreement and discussed above.</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245"/>
        <w:gridCol w:w="6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 85% of the closing sale price of the Ordinary Shares on July 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supplement and the accompanying prospectus, we are offering up to US$30,000,000 in the Ordinary Shares, exclusive of US$300,000 of the Ordinary Shares to be issued to HW as Commitment Shares (assuming no adjustment as detailed under the Purchase Agreement) pursuant to the Purchase Agreement. This prospectus supplement and the accompanying prospectus also cover the resale of these Ordinary Shares by HW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at any time and from time to time during the period commencing on the Commencement Date (as defined in the Purchase Agreement) and ending on the earlier of (i) the date on which HW has cumulatively purchased a number of Purchase Notice Shares equal to $30,000,000 or (ii) the Maturity Date (as defined in the Purchase Agreement), we may direct HW, by written notices (the “Purchase Notices”), to purchase Ordinary Shares on such business days (or the purchase dates), provided that the number of the Ordinary Shares to be purchased on such purchase date pursuant to each Purchase Notice is subject to limits that vary by the type of purchase (in each case subject to waiver or increase by HW): (i) for a Predetermined Purchase, 15% of the average daily trading volume of the Ordinary Shares for the five Trading Days prior to HW’s receipt of the Predetermined Purchase Notice; (ii) for a Single Day Purchase, the lesser of (A) 35% of the three-day average daily trading volume of the Ordinary Shares or (B) the Investment Limit of US$5,000,000 divided by the highest Closing Sale Price of the Ordinary Shares over the most recent five Trading Days immediately preceding receipt of the applicable Purchase Notice; and (iii) for a VWAP Purchase, 150% of the average daily trading volume of the Ordinary Shares for the five Trading Days prior to HW’s receipt of the VWAP Purchase Notice. We may direct HW to purchase the Ordinary Shares as often as every business day. The purchase price for the Ordinary Shares under each Purchase Notice will be determined as follows: (i) for a Predetermined Purchase, 85% of the lowest daily volume weighted average price (“VWAP”) of the Ordinary Shares over the five consecutive Trading Days ending on the applicable Purchase Notice date; (ii) for a VWAP Purchase, 97% of the lowest daily VWAP over the three consecutive Trading Days beginning on the applicable Purchase Notice date; and (iii) for a Single Day Purchase, the average of the three lowest traded prices of the Ordinary Shares on the applicable purchase date, in each case as reported on Nasdaq and as adjusted for any reorganization, recapitalization, non-cash dividend, share subdivision, share consolidation or other similar transaction. In no event will we sell Ordinary Shares under any Purchase Notice at a price below US$2.00 per share (the “Floor Price”). Unless we obtain shareholder approval, we will not issue Ordinary Shares under the Purchase Agreement to the extent the issuance would exceed 19.99% of the Ordinary Shares outstanding as of the date of the Purchase Agreement (the “Exchange Cap”), in accordance with Nasdaq Listing Rule 5635(d). See “HW Transaction — Purchases of the Ordinary Shares under the Purchase Agreement” in this prospectus supplement. HW is an “underwriter” within the meaning of Section 2(a)(11)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Ordinary Shares covered by this prospectus supplement to HW. We have also agreed to reimburse HW for certain expenses in connection with this offering. Each of us and HW has agreed to indemnify each other and certain other persons against certain liabilities in connection with the Purchase Agreement or relating to (i) any misrepresentation, breach of warranty or nonfulfillment of or failure to perform any covenant or agreement contained in the Purchase Agreement, (ii) any untrue statement or alleged untrue statement of a material fact contained in the registration statement or any post-effective amendment thereof or prospectus or prospectus supplement, or the omission or alleged omission therefrom of a material fact required to be stated therein or necessary to make the statements therein, in the light of the circumstances under which they were made, not misleading, or (iii) any untrue statement or alleged untrue statement of a material fact contained in any preliminary prospectus or contained in the final prospectus (as amended or supplemented, if filed with the SEC) or the omission or alleged omission to state therein any material fact necessary to make the statements made therein, in the light of the circumstances under which the statements therein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 has represented to us that at no time prior to the Purchase Agreement has HW or its agents, representatives or affiliates engaged in or effected, in any manner whatsoever, directly or indirectly, any short sale (as such term is defined in Rule 200 of Regulation SHO of the Securities Exchange Act of 1934, as amended (the “Exchange Act”)) of the Ordinary Shares or any hedging transaction, which establishes a net short position with respect to the Ordinary Shares. HW agreed that during the term of the Purchase Agreement, it, its agents, representatives or affiliates will not enter into or effect, directly or indirectly, any of the foregoing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HW that it is required to comply with Regulation M promulgated under the Exchange Act. With certain exceptions, Regulation M precludes HW,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sz w:val="20"/>
        </w:rPr>
        <w:t>This offering will automatically terminate on the earlier of (i) the date on which HW shall have cumulatively purchased such number of shares pursuant to the Purchase Agreement equal to $30,000,000 or (ii) the Maturity Date (as defined in the Purchase Agreement). This Agreement may also be terminated by the Company at any time for any reason by giving written notice to HW.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are listed on Nasdaq under the symbol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in this offering and certain other legal matters as to Cayman Islands law will be passed upon for us by Maples and Calder (Hong Kong) LLP, our counsel as to Cayman Islands law. Legal matters as to PRC law will be passed upon for us by ANLI Partners Law Offices, LLP (Tianjin).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sz w:val="20"/>
        </w:rPr>
        <w:t>The financial statements incorporated by reference in this prospectus supplement for the fiscal year ended December 31, 2025 have been audited by GGF CPA LTD (“GGF”), (fka Guangzhou Good Faith CPA LTD), the independent registered public accounting firm registered with the PCAOB (PCAOB ID:2729), as set forth in their report thereon included therein, and incorporated herein by reference, and are included in reliance upon such report given on the authority of such firm as experts in accounting and auditing. The office of GGF CPA LTD is located at Room 2112, Building A1, No.2 Jinxin Street, Liwan District, Guangzhou, Guangdong,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supplement for the fiscal years ended December 31, 2020 and 2021 have been audited by Friedman LLP, an independent registered public accounting firm, as set forth in their report thereon included therein, and incorporated herein by reference, and are included in reliance upon such report given on the authority of such firm as experts in accounting and auditing. Friedman LLP was merged with Marcum LLP on September 1, 2022 and filed its application to withdraw the PCAOB registration on December 30, 2022. The office of Friedman LLP was located at One Liberty Plaza, 165 Broadway 21st Floor, New York, NY 10006.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supplement certain information that we file with the SEC. This means that we can disclose important information to you by referring you to those documents. Any statement contained in a document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supplement the following documents:</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245"/>
        <w:gridCol w:w="92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(1)</w:t>
              </w:r>
            </w:hyperlink>
          </w:p>
        </w:tc>
        <w:tc>
          <w:tcPr>
            <w:tcW w:w="9290"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our annual report on Form 20-F for the fiscal year ended December 31, 2025, filed with the SEC on April 30,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9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870" w:type="dxa"/>
            <w:tcBorders/>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 xml:space="preserve">our Reports on Form 6-K filed with the SEC on </w:t>
            </w:r>
            <w:hyperlink r:id="rId6">
              <w:r>
                <w:rPr>
                  <w:rStyle w:val="InternetLink"/>
                  <w:rFonts w:ascii="Times New Roman;Times;Serif" w:hAnsi="Times New Roman;Times;Serif"/>
                  <w:b w:val="false"/>
                  <w:i w:val="false"/>
                  <w:caps w:val="false"/>
                  <w:smallCaps w:val="false"/>
                  <w:sz w:val="20"/>
                </w:rPr>
                <w:t>May 18,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4,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June 10, 2026</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July 9, 2026</w:t>
              </w:r>
            </w:hyperlink>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(3)</w:t>
              </w:r>
            </w:hyperlink>
          </w:p>
        </w:tc>
        <w:tc>
          <w:tcPr>
            <w:tcW w:w="9912"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the description of our Ordinary Shares contained in our registration statement on Form 8-A, filed with the SEC on February 1, 2021, and any amendment or report filed for the purpose of updating such description;</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annual reports on Form 20-F filed with the SEC after the date of this prospectus supplement and prior to the termination of the offering of the securities offered by this prospectus supplement;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reports of foreign private issuer on Form 6-K that we furnish to the SEC after the date of this prospectus supplement that are identified in such reports as being incorporated by reference into the registration statement of which this prospectus supplement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on Form 20-F for the fiscal year ended December 31, 2025, filed with the SEC on April 30, 2026, contains a description of our business and audited consolidated financial statements with a report by our independent auditors. These statements were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 Building No. 8, Xishanhui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+86-010-82088021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supplement. We have not authorized anyone to provide you with different information. We are not making any offer to sell these securities in any jurisdiction where the offer or sale is not permitted. You should not assume that the information contained or incorporated in this prospectus supplement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supplement omits certain information and exhibits that are included in the registration statement of which this prospectus supplement forms a part. Since this prospectus supplement may not contain all of the information that you may find important, you should review the full text of these documents. If we have filed a contract, agreement, or other document as an exhibit to the registration statement of which this prospectus supplement forms a part, you should read the exhibit for a more complete understanding of the document or matter involved. Each statement in this prospectus supplement,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Up to US$100,000,000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447,917 Ordinary Shares Offered by Selling Shareholders Named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43175" cy="942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2543175" cy="9429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 a Cayman Islands exempted company with limited liability (the “Company,” “we,” “our,” and “us”) may, from time to time, in one or more offerings, offer and sell up to US$100,000,000 of any combination, together or separately, of our ordinary shares, par value US$0.0096 per share (the “Ordinary Shares”), debt securities, warrants, rights, and units, or any combination thereof as described in this prospectus. In this prospectus, references to the term “securities” refers collectively to our Ordinary Shares, debt securities, warrants, rights, and units. The prospectus supplement for each offering of securities will describe in detail the plan of distribution for that offering. For general information about the distribution of the securities offered, please see “Plan of Distribution”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also relates to the resale by certain selling shareholders described herein (the “Selling Shareholders”) of up to an aggregate of 447,917 Ordinary Shares. The Selling Shareholders may, from time to time, sell, transfer, or otherwise dispose of any or all of their Ordinary Shares registered herein on any stock exchange, market, or trading facility on which the Ordinary Shares are traded or in private transactions. These dispositions may be at fixed prices, at prevailing market prices at the time of sale, at prices related to the prevailing market price, at varying prices determined at the time of sale, or at negotiated prices. We will not receive any of the proceeds from the sale or other disposition of the Ordinary Shares by the Selling Shareholders, but we will bear all costs, fees and expenses in connection with the registration of the Ordinary Shares offered by the Selling Shareholders. The Selling Shareholders will bear all commissions and discounts, if any, attributable to the sale of the Ordinary Shares offered for resale through this prospectus. For information regarding the Selling Shareholders and the times and manner in which they may offer or sell Ordinary Shares, see “Selling Shareholders” and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as used in this prospectus, the terms (i) “we,” “us,” “our,” or the “Company” refer to Baosheng Media Group Holdings Limited, a Cayman Islands exempted company with limited liability, (ii) “our subsidiaries” or “the subsidiaries” refer to the Company’s direct and indirect subsidiaries, and (iii) “operating entities” refer to the Company’s subsidiaries with business activities, namely Beijing Baosheng Technology Company Limited (“Beijing Baosheng”), Horgos Baosheng Advertising Company Limited (“Horgos Baosheng”), Baosheng Technology (Horgos) Company Limited (“Baosheng Technology”), Kashi Baosheng Information Technology Company Limited (“Kashi Baosheng”), Beijing Baosheng Network Technology Co., Ltd. (“Baosheng Network”) and Beijing Xunhuo E-commerce Co., Ltd. (“Beijing Xunhuo”); all are limited liability companies established in the People’s Republic of China (the “PRC” or “China”) and our indirect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and not a Chinese operating company. As a holding company with no operations of our own, we conduct our operations through the operating entities in China, and this structure involves unique risks to investors. We have not adopted a variable interest entity (the “VIE”) structure. Investors in our securities are not purchasing equity interests in our subsidiaries but instead are purchasing equity interests in the Cayman Islands holding company. Therefore, investors will not directly hold any equity interests in our operating companies. The Chinese regulatory authorities could disallow our corporate structure, which would likely result in a material change in our operations and/or a material change in the value of our securities, including that it could cause the value of such securities to significantly decline or become worthless. For risks facing our Company and this offering as a result of our organizational structure, see “Item 3. Key Information—D. Risk Factors—Risks Related to Doing Business in China” in our annual report on Form 20-F for the fiscal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being based in China, which could cause the value of our securities to become worthless. PRC laws and regulations governing our current business operations are sometimes vague and uncertain, and as a result these risks may result in material changes in the operations of the PRC subsidiaries, significant depreciation of the value of our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neither we nor our subsidiaries have been involved in any investigations on cybersecurity review initiated by any PRC regulatory authority, nor has any of them received any inquiry, notice, or sanction. In the opinion of our PRC counsel, Beijing Dacheng Law Offices, LLP, we are not subject to cybersecurity review with the Cyberspace Administration of China, or the CAC, under the Measures for Cybersecurity Censorship which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Measures for Cybersecurity Censorship; we are also not subject to network data security review by the CAC if the draft Regulations on Network Data Security Administration are enacted as proposed, since we currently do not have over one million users’ personal information and do not collect data that affects or may affect national security and we do not anticipate that we will be collecting over one million users’ personal information or data that affects or may affect national security in the foreseeable future, which we understand might otherwise subject us to the draft Regulations on Network Data Security Administration. See “Risk Factors—Risks Related to Doing Business in China—Recent greater oversight by the CAC over data security, particularly for companies seeking to list on a foreign exchange, could adversely impact our business and our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17, 2023, the China Securities Regulatory Commission (the “CSRC”) released the Trial Administrative Measures of Overseas Securities Offering and Listing by Domestic Companies (the “Trial Measures”) and five supporting guidelines, which took effect on March 31, 2023. Pursuant to the Trial Measures,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On the same day, the CSRC also held a press conference for the release of the Trial Measures and issued the Notice on Administration for the Filing of Overseas Offering and Listing by Domestic Companies, or the CSRC Notice, which, among others, clarifies that PRC domestic companies that have already been listed overseas before the effective date of the Trial Measures, which is March 31, 2023, shall be deemed as Existing Issuers, and Existing Issuers are not required to complete the filing procedures with the CSRC immediately, and they shall be required to file with the CSRC for any subsequent offerings. Based on the foregoing, we are an Existing Issuer, and is required to file with the CSRC for any subsequent offerings within three (3) working days after the completion of each offering. Therefore, we are required to go through filing procedures through our major operating entity incorporated in the PRC with the CSRC within three (3) working days after the completion of an offering pursuant to any accompanying prospectus supplement, and prepare a summary report to the CSRC after the completion of all offerings under this prospectus. We intend to comply with the Trial Measures for subsequent offerings under this registration statement on Form F-3. </w:t>
      </w:r>
      <w:r>
        <w:rPr>
          <w:rFonts w:ascii="Times New Roman;Times;Serif" w:hAnsi="Times New Roman;Times;Serif"/>
          <w:b w:val="false"/>
          <w:i w:val="false"/>
          <w:caps w:val="false"/>
          <w:smallCaps w:val="false"/>
          <w:sz w:val="20"/>
          <w:shd w:fill="FFFFFF" w:val="clear"/>
        </w:rPr>
        <w:t>Other than the CSRC filing procedures we are required to make within three working days after the completion of an offering made pursuant to this prospectus or any accompanying prospectus supplement, we and our PRC subsidiaries, in the opinion of our PRC legal counsel, </w:t>
      </w:r>
      <w:r>
        <w:rPr>
          <w:rFonts w:ascii="Times New Roman;Times;Serif" w:hAnsi="Times New Roman;Times;Serif"/>
          <w:b w:val="false"/>
          <w:i w:val="false"/>
          <w:caps w:val="false"/>
          <w:smallCaps w:val="false"/>
          <w:sz w:val="20"/>
        </w:rPr>
        <w:t>Beijing Dacheng Law Offices, LLP</w:t>
      </w:r>
      <w:r>
        <w:rPr>
          <w:rFonts w:ascii="Times New Roman;Times;Serif" w:hAnsi="Times New Roman;Times;Serif"/>
          <w:b w:val="false"/>
          <w:i w:val="false"/>
          <w:caps w:val="false"/>
          <w:smallCaps w:val="false"/>
          <w:sz w:val="20"/>
          <w:shd w:fill="FFFFFF" w:val="clear"/>
        </w:rPr>
        <w:t>,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In the opinion of </w:t>
      </w:r>
      <w:r>
        <w:rPr>
          <w:rFonts w:ascii="Times New Roman;Times;Serif" w:hAnsi="Times New Roman;Times;Serif"/>
          <w:b w:val="false"/>
          <w:i w:val="false"/>
          <w:caps w:val="false"/>
          <w:smallCaps w:val="false"/>
          <w:sz w:val="20"/>
        </w:rPr>
        <w:t>our PRC legal counsel, Beijing Dacheng Law Offices, LLP, the Selling Shareholders’ resale of the Ordinary Sales as described hereunder does not constitute a “subsequent offering” under the CSRC rules and hence we are not required to complete the filing procedures with CSRC for the Selling Shareholders’ resale. See “Risk Factors—Risks Related to Doing Business in China—The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2008), the anti-monopoly guidelines for various industries, and the Detailed Rules for the Implementation of the Fair Competition Review System; and (iii) expanding the anti-monopoly law enforcement targeting Internet companies and large enterprises. As of the date of this prospectus, the Chinese government’s recent statements and regulatory actions related to anti-monopoly concerns have not impacted our or our subsidiaries’ ability to conduct business, our ability to accept foreign investments or issue our securities to foreign investors because neither we nor our subsidiaries engage in monopolistic behaviors that are subject to these statements or regulatory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and our subsidiaries have received from PRC authorities all requisite licenses, permissions, and approvals needed to engage in the businesses currently conducted in the PRC, and no permission or approval has been denied. However, we cannot assure you that we will be able to receive clearance of any compliance requirements imposed on us in a timely manner, or at all. Any failure to fully comply with such compliance requirements may cause our PRC subsidiaries to be unable to conduct their businesses or operations in the PRC, subject them to fines, business suspension, or other sanctions. If we and/or our subsidiaries do not receive or maintain the approvals, or we inadvertently conclude that such approvals are not required, or applicable laws, regulations, or interpretations change such that we and/or our subsidiaries are required to obtain approval in the future, we may be subject to an investigation by competent regulators, fines or penalties, ordered to suspend our relevant business and rectify, prohibited from engaging in relevant business, and these risks could result in a material adverse change in our operations, significantly limit or completely hinder our ability to offer or continue to offer securities to investors, or cause such securities to significantly decline in value or become worthless. See “Prospectus Summary—Permissions Required from PRC Authorities”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two consecutive years beginning in 2021. Our auditor, YCM CPA INC., </w:t>
      </w:r>
      <w:r>
        <w:rPr>
          <w:rFonts w:ascii="Times New Roman;Times;Serif" w:hAnsi="Times New Roman;Times;Serif"/>
          <w:b w:val="false"/>
          <w:i w:val="false"/>
          <w:caps w:val="false"/>
          <w:smallCaps w:val="false"/>
          <w:sz w:val="20"/>
          <w:shd w:fill="FFFFFF" w:val="clear"/>
        </w:rPr>
        <w:t>headquartered in Irvine, California, </w:t>
      </w:r>
      <w:r>
        <w:rPr>
          <w:rFonts w:ascii="Times New Roman;Times;Serif" w:hAnsi="Times New Roman;Times;Serif"/>
          <w:b w:val="false"/>
          <w:i w:val="false"/>
          <w:caps w:val="false"/>
          <w:smallCaps w:val="false"/>
          <w:sz w:val="20"/>
        </w:rPr>
        <w:t>has been inspected by the PCAOB on a regular basis and it is not subject to the determinations announced by the PCAOB on December 16, 2021. If trading in our Ordinary Shares is prohibited under the HFCA Act in the future because the PCAOB determines that it cannot inspect or fully investigate our auditor at such future time, Nasdaq may determine to delist or prohibit the trading of our Ordinary Shares.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U.S. Securities and Exchange Commission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the Ordinary Shares is prohibited under the HFCA Act in the future because the PCAOB determines that it cannot inspect or fully investigate our auditor at such future time, Nasdaq may determine to delist our Ordinary Shares and trading in our Ordinary Shares could be prohibited. See “Risk Factors—Risks Related to Doing Business in China—The recent joint statement by the SEC and the PCAOB, rule changes by Nasdaq, and the Holding Foreign Companies Accountable Act and related regulations,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 cash management policy in place that dictate how funds are transferred between us and our subsidiaries, or investors. We are a holding company, and we may rely on dividends and other distributions on equity paid by our PRC subsidiaries for our cash and financing requirements, including the furnishing of funds necessary to pay dividends and other cash distributions to our shareholders or to service any debt we may incur. If any of our PRC subsidiaries incurs debt on its own behalf in the future, the instruments governing such debt may restrict their ability to pay dividends to us. There have not been any such dividends or other distributions from our PRC subsidiaries to our subsidiaries located outside of China, as of the date of this prospectus. In addition, as of the date of this prospectus, none of our subsidiaries have ever issued any dividends or distributions to us or their respective shareholders outside of China, and neither we nor any of our subsidiaries have ever paid dividends or made distributions to U.S. investors. As of the date of this prospectus, neither we nor any of our subsidiaries have ever paid dividends or made distributions to U.S. investors. Other than the following transactions, no cash transfers have occurred among us and our subsidiaries: (i) our Hong Kong subsidiary, Baosheng Media Group (Hong Kong) Holdings Limited, or Baosheng Hong Kong, received cash of $38.3 million from us, which represented proceeds raised in the initial public offering of our Ordinary Shares in February 2021, and the private placement of our Ordinary Shares and warrants in March 2021, (ii) on March 16, 2021, Baosheng Hong Kong transferred cash of $6 million, in the form of shareholder loans, to its wholly owned subsidiary, Beijing Baosheng, and (iii) in April 2021 and August 2021, Baosheng Hong Kong transferred cash in the aggregate of $30.79 million, in the form of capital contributions, to its wholly owned subsidiary, Beijing Baosheng Network Technology Co., Ltd., or Baosheng Network. In the future, cash proceeds raised from overseas financing activities may be transferred by us to our PRC subsidiaries by means of capital contributions or shareholder loans, as the case may be. Notwithstanding the recent judgment against Beijing Baosheng, described more particularly under “Item 4. Information on the Company—B. Business Overview—Legal Proceedings” in our annual report on Form 20-F for the fiscal year ended December 31, 2022, we do not expect that the court’s ruling will impact the cash transferring through the organization. See “Item 18. Financial Statements” starting on page F-1 in our annual report on Form 20-F for the year ended December 31, 2022,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 See “Risk Factors—Risks Related to Doing Business in China—We may rely on dividends paid by our subsidiaries for our cash needs, and any limitation on the ability of our subsidiaries to make payments to us could have a material adverse effect on our ability to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a result, any restriction on currency exchange may limit the ability of our PRC operating subsidiaries to use their potential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“Risk Factors—Risks Related to Doing Business in China—We may rely on dividends paid by our subsidiaries for our cash needs, and any limitation on the ability of our subsidiaries to make payments to us could have a material adverse effect on our ability to conduct business” for a detailed discussion of the Chinese legal restrictions on the payment of dividends and our ability to transfer cash within our group. In addition, holders of our Ordinary Shares may potentially be subject to Chinese taxes on dividends paid by us in the event we are deemed a Chinese resident enterprise for Chinese tax purposes. See “Risk Factors—Risks Related to Doing Business in China—You may be subject to PRC income tax on dividends from us or on any gain realized on the transfer of our Ordinary Shares.”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For detailed discussions, see “Prospectus Summary—Dividends and Other Distributions” and “Risk Factors — Risks Related to Doing Business in China —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on page 34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as amended, or the “JOBS Act,” and, as such, we have elected to comply with certain reduced public company reporting requirements. See “Prospectus Summary—Implications of Being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or the Selling Shareholders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Times;Serif" w:hAnsi="Times New Roman;Times;Serif"/>
          <w:b/>
          <w:i w:val="false"/>
          <w:caps w:val="false"/>
          <w:smallCaps w:val="false"/>
          <w:sz w:val="20"/>
        </w:rPr>
        <w:t>The Company may not use this prospectus to offer or sell any securities unless accompanied by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these securities and Selling Shareholders may, from time to time, offer the securities through public or private transactions, directly or through one or more underwriters, dealers, brokers and agents, on or off the Nasdaq Capital Market, or Nasdaq, at prevailing market prices or at privately negotiated prices. If any underwriters, dealers, brokers or agents are involved in the sale of any of these securities, the applicable prospectus supplement will set forth the name of the underwriter, dealer, broker or agent and any applicable commissions or discounts. The offering price of such securities and the net proceeds we expect to receive from such sale will also be set forth in a prospectus supplement. See “Plan of Distribution” elsewhere in this prospectus for a more complete description of the ways in which the securities may be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“BAOS.” On September 12, 2023, the closing price for our Ordinary Shares was $6.17 per share. Unless expressly indicated herein to the contrary, all references to share amounts in this prospectus give retroactive effect to our share consolidations, the last of which was effective on March 21, 2023. See “Description of Share Capital—History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including, but not limited to, various legal and operational risks as a result of having the majority of our operations in China. Before making an investment decision, please read the information under the heading “Risk Factors” beginning on page 25 of this prospectus and risk factors set forth in our annual report on Form 20-F for the fiscal year ended December 31, 2022, in other reports incorporated herein by reference, and in an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4685"/>
        <w:gridCol w:w="515"/>
      </w:tblGrid>
      <w:tr>
        <w:trPr/>
        <w:tc>
          <w:tcPr>
            <w:tcW w:w="4685"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Page</w:t>
            </w:r>
            <w:r>
              <w:rPr/>
              <w:t> </w:t>
            </w:r>
          </w:p>
        </w:tc>
      </w:tr>
      <w:tr>
        <w:trPr/>
        <w:tc>
          <w:tcPr>
            <w:tcW w:w="4685" w:type="dxa"/>
            <w:tcBorders/>
            <w:shd w:fill="CCEEFF" w:val="clear"/>
            <w:vAlign w:val="center"/>
          </w:tcPr>
          <w:p>
            <w:pPr>
              <w:pStyle w:val="TableContents"/>
              <w:bidi w:val="0"/>
              <w:spacing w:before="0" w:after="283"/>
              <w:jc w:val="left"/>
              <w:rPr/>
            </w:pPr>
            <w:hyperlink w:anchor="i_001">
              <w:r>
                <w:rPr>
                  <w:rStyle w:val="InternetLink"/>
                  <w:rFonts w:ascii="Times New Roman;Times;Serif" w:hAnsi="Times New Roman;Times;Serif"/>
                  <w:sz w:val="20"/>
                </w:rPr>
                <w:t>About this Prospectus</w:t>
              </w:r>
            </w:hyperlink>
          </w:p>
        </w:tc>
        <w:tc>
          <w:tcPr>
            <w:tcW w:w="515" w:type="dxa"/>
            <w:tcBorders/>
            <w:shd w:fill="CCEEFF" w:val="clear"/>
            <w:vAlign w:val="center"/>
          </w:tcPr>
          <w:p>
            <w:pPr>
              <w:pStyle w:val="TableContents"/>
              <w:bidi w:val="0"/>
              <w:spacing w:before="0" w:after="283"/>
              <w:jc w:val="right"/>
              <w:rPr/>
            </w:pPr>
            <w:hyperlink w:anchor="i_001">
              <w:r>
                <w:rPr>
                  <w:rStyle w:val="InternetLink"/>
                  <w:rFonts w:ascii="Times New Roman;Times;Serif" w:hAnsi="Times New Roman;Times;Serif"/>
                  <w:sz w:val="20"/>
                </w:rPr>
                <w:t>8</w:t>
              </w:r>
            </w:hyperlink>
          </w:p>
        </w:tc>
      </w:tr>
      <w:tr>
        <w:trPr/>
        <w:tc>
          <w:tcPr>
            <w:tcW w:w="4685" w:type="dxa"/>
            <w:tcBorders/>
            <w:shd w:fill="FFFFFF" w:val="clear"/>
            <w:vAlign w:val="center"/>
          </w:tcPr>
          <w:p>
            <w:pPr>
              <w:pStyle w:val="TableContents"/>
              <w:bidi w:val="0"/>
              <w:spacing w:before="0" w:after="283"/>
              <w:jc w:val="left"/>
              <w:rPr/>
            </w:pPr>
            <w:hyperlink w:anchor="i_002">
              <w:r>
                <w:rPr>
                  <w:rStyle w:val="InternetLink"/>
                  <w:rFonts w:ascii="Times New Roman;Times;Serif" w:hAnsi="Times New Roman;Times;Serif"/>
                  <w:sz w:val="20"/>
                </w:rPr>
                <w:t>Commonly Used Defined Terms</w:t>
              </w:r>
            </w:hyperlink>
          </w:p>
        </w:tc>
        <w:tc>
          <w:tcPr>
            <w:tcW w:w="515" w:type="dxa"/>
            <w:tcBorders/>
            <w:shd w:fill="FFFFFF" w:val="clear"/>
            <w:vAlign w:val="center"/>
          </w:tcPr>
          <w:p>
            <w:pPr>
              <w:pStyle w:val="TableContents"/>
              <w:bidi w:val="0"/>
              <w:spacing w:before="0" w:after="283"/>
              <w:jc w:val="right"/>
              <w:rPr/>
            </w:pPr>
            <w:hyperlink w:anchor="i_002">
              <w:r>
                <w:rPr>
                  <w:rStyle w:val="InternetLink"/>
                  <w:rFonts w:ascii="Times New Roman;Times;Serif" w:hAnsi="Times New Roman;Times;Serif"/>
                  <w:sz w:val="20"/>
                </w:rPr>
                <w:t>8</w:t>
              </w:r>
            </w:hyperlink>
          </w:p>
        </w:tc>
      </w:tr>
      <w:tr>
        <w:trPr/>
        <w:tc>
          <w:tcPr>
            <w:tcW w:w="4685" w:type="dxa"/>
            <w:tcBorders/>
            <w:shd w:fill="CCEEFF" w:val="clear"/>
            <w:vAlign w:val="center"/>
          </w:tcPr>
          <w:p>
            <w:pPr>
              <w:pStyle w:val="TableContents"/>
              <w:bidi w:val="0"/>
              <w:spacing w:before="0" w:after="283"/>
              <w:jc w:val="left"/>
              <w:rPr/>
            </w:pPr>
            <w:hyperlink w:anchor="i_003">
              <w:r>
                <w:rPr>
                  <w:rStyle w:val="InternetLink"/>
                  <w:rFonts w:ascii="Times New Roman;Times;Serif" w:hAnsi="Times New Roman;Times;Serif"/>
                  <w:sz w:val="20"/>
                </w:rPr>
                <w:t>Cautionary Note Regarding Forward-Looking Statements</w:t>
              </w:r>
            </w:hyperlink>
          </w:p>
        </w:tc>
        <w:tc>
          <w:tcPr>
            <w:tcW w:w="515" w:type="dxa"/>
            <w:tcBorders/>
            <w:shd w:fill="CCEEFF" w:val="clear"/>
            <w:vAlign w:val="center"/>
          </w:tcPr>
          <w:p>
            <w:pPr>
              <w:pStyle w:val="TableContents"/>
              <w:bidi w:val="0"/>
              <w:spacing w:before="0" w:after="283"/>
              <w:jc w:val="right"/>
              <w:rPr/>
            </w:pPr>
            <w:hyperlink w:anchor="i_003">
              <w:r>
                <w:rPr>
                  <w:rStyle w:val="InternetLink"/>
                  <w:rFonts w:ascii="Times New Roman;Times;Serif" w:hAnsi="Times New Roman;Times;Serif"/>
                  <w:sz w:val="20"/>
                </w:rPr>
                <w:t>12</w:t>
              </w:r>
            </w:hyperlink>
          </w:p>
        </w:tc>
      </w:tr>
      <w:tr>
        <w:trPr/>
        <w:tc>
          <w:tcPr>
            <w:tcW w:w="4685" w:type="dxa"/>
            <w:tcBorders/>
            <w:shd w:fill="FFFFFF" w:val="clear"/>
            <w:vAlign w:val="center"/>
          </w:tcPr>
          <w:p>
            <w:pPr>
              <w:pStyle w:val="TableContents"/>
              <w:bidi w:val="0"/>
              <w:spacing w:before="0" w:after="283"/>
              <w:jc w:val="left"/>
              <w:rPr/>
            </w:pPr>
            <w:hyperlink w:anchor="i_027">
              <w:r>
                <w:rPr>
                  <w:rStyle w:val="InternetLink"/>
                  <w:rFonts w:ascii="Times New Roman;Times;Serif" w:hAnsi="Times New Roman;Times;Serif"/>
                  <w:sz w:val="20"/>
                </w:rPr>
                <w:t>Prospectus Summary</w:t>
              </w:r>
            </w:hyperlink>
          </w:p>
        </w:tc>
        <w:tc>
          <w:tcPr>
            <w:tcW w:w="515" w:type="dxa"/>
            <w:tcBorders/>
            <w:shd w:fill="FFFFFF" w:val="clear"/>
            <w:vAlign w:val="center"/>
          </w:tcPr>
          <w:p>
            <w:pPr>
              <w:pStyle w:val="TableContents"/>
              <w:bidi w:val="0"/>
              <w:spacing w:before="0" w:after="283"/>
              <w:jc w:val="right"/>
              <w:rPr/>
            </w:pPr>
            <w:hyperlink w:anchor="i_027">
              <w:r>
                <w:rPr>
                  <w:rStyle w:val="InternetLink"/>
                  <w:rFonts w:ascii="Times New Roman;Times;Serif" w:hAnsi="Times New Roman;Times;Serif"/>
                  <w:sz w:val="20"/>
                </w:rPr>
                <w:t>13</w:t>
              </w:r>
            </w:hyperlink>
          </w:p>
        </w:tc>
      </w:tr>
      <w:tr>
        <w:trPr/>
        <w:tc>
          <w:tcPr>
            <w:tcW w:w="4685" w:type="dxa"/>
            <w:tcBorders/>
            <w:shd w:fill="CCEEFF" w:val="clear"/>
            <w:vAlign w:val="center"/>
          </w:tcPr>
          <w:p>
            <w:pPr>
              <w:pStyle w:val="TableContents"/>
              <w:bidi w:val="0"/>
              <w:spacing w:before="0" w:after="283"/>
              <w:jc w:val="left"/>
              <w:rPr/>
            </w:pPr>
            <w:hyperlink w:anchor="i_004">
              <w:r>
                <w:rPr>
                  <w:rStyle w:val="InternetLink"/>
                  <w:rFonts w:ascii="Times New Roman;Times;Serif" w:hAnsi="Times New Roman;Times;Serif"/>
                  <w:sz w:val="20"/>
                </w:rPr>
                <w:t>Risk Factors</w:t>
              </w:r>
            </w:hyperlink>
          </w:p>
        </w:tc>
        <w:tc>
          <w:tcPr>
            <w:tcW w:w="515" w:type="dxa"/>
            <w:tcBorders/>
            <w:shd w:fill="CCEEFF" w:val="clear"/>
            <w:vAlign w:val="center"/>
          </w:tcPr>
          <w:p>
            <w:pPr>
              <w:pStyle w:val="TableContents"/>
              <w:bidi w:val="0"/>
              <w:spacing w:before="0" w:after="283"/>
              <w:jc w:val="right"/>
              <w:rPr/>
            </w:pPr>
            <w:hyperlink w:anchor="i_004">
              <w:r>
                <w:rPr>
                  <w:rStyle w:val="InternetLink"/>
                  <w:rFonts w:ascii="Times New Roman;Times;Serif" w:hAnsi="Times New Roman;Times;Serif"/>
                  <w:sz w:val="20"/>
                </w:rPr>
                <w:t>25</w:t>
              </w:r>
            </w:hyperlink>
          </w:p>
        </w:tc>
      </w:tr>
      <w:tr>
        <w:trPr/>
        <w:tc>
          <w:tcPr>
            <w:tcW w:w="4685" w:type="dxa"/>
            <w:tcBorders/>
            <w:shd w:fill="FFFFFF" w:val="clear"/>
            <w:vAlign w:val="center"/>
          </w:tcPr>
          <w:p>
            <w:pPr>
              <w:pStyle w:val="TableContents"/>
              <w:bidi w:val="0"/>
              <w:spacing w:before="0" w:after="283"/>
              <w:jc w:val="left"/>
              <w:rPr/>
            </w:pPr>
            <w:hyperlink w:anchor="i_005">
              <w:r>
                <w:rPr>
                  <w:rStyle w:val="InternetLink"/>
                  <w:rFonts w:ascii="Times New Roman;Times;Serif" w:hAnsi="Times New Roman;Times;Serif"/>
                  <w:sz w:val="20"/>
                </w:rPr>
                <w:t>Offer Statistics and Expected Timetable</w:t>
              </w:r>
            </w:hyperlink>
          </w:p>
        </w:tc>
        <w:tc>
          <w:tcPr>
            <w:tcW w:w="515" w:type="dxa"/>
            <w:tcBorders/>
            <w:shd w:fill="FFFFFF" w:val="clear"/>
            <w:vAlign w:val="center"/>
          </w:tcPr>
          <w:p>
            <w:pPr>
              <w:pStyle w:val="TableContents"/>
              <w:bidi w:val="0"/>
              <w:spacing w:before="0" w:after="283"/>
              <w:jc w:val="right"/>
              <w:rPr/>
            </w:pPr>
            <w:hyperlink w:anchor="i_005">
              <w:r>
                <w:rPr>
                  <w:rStyle w:val="InternetLink"/>
                  <w:rFonts w:ascii="Times New Roman;Times;Serif" w:hAnsi="Times New Roman;Times;Serif"/>
                  <w:sz w:val="20"/>
                </w:rPr>
                <w:t>42</w:t>
              </w:r>
            </w:hyperlink>
          </w:p>
        </w:tc>
      </w:tr>
      <w:tr>
        <w:trPr/>
        <w:tc>
          <w:tcPr>
            <w:tcW w:w="4685" w:type="dxa"/>
            <w:tcBorders/>
            <w:shd w:fill="CCEEFF" w:val="clear"/>
            <w:vAlign w:val="center"/>
          </w:tcPr>
          <w:p>
            <w:pPr>
              <w:pStyle w:val="TableContents"/>
              <w:bidi w:val="0"/>
              <w:spacing w:before="0" w:after="283"/>
              <w:jc w:val="left"/>
              <w:rPr/>
            </w:pPr>
            <w:hyperlink w:anchor="i_006">
              <w:r>
                <w:rPr>
                  <w:rStyle w:val="InternetLink"/>
                  <w:rFonts w:ascii="Times New Roman;Times;Serif" w:hAnsi="Times New Roman;Times;Serif"/>
                  <w:sz w:val="20"/>
                </w:rPr>
                <w:t>Capitalization and Indebtedness</w:t>
              </w:r>
            </w:hyperlink>
          </w:p>
        </w:tc>
        <w:tc>
          <w:tcPr>
            <w:tcW w:w="515" w:type="dxa"/>
            <w:tcBorders/>
            <w:shd w:fill="CCEEFF" w:val="clear"/>
            <w:vAlign w:val="center"/>
          </w:tcPr>
          <w:p>
            <w:pPr>
              <w:pStyle w:val="TableContents"/>
              <w:bidi w:val="0"/>
              <w:spacing w:before="0" w:after="283"/>
              <w:jc w:val="right"/>
              <w:rPr/>
            </w:pPr>
            <w:hyperlink w:anchor="i_006">
              <w:r>
                <w:rPr>
                  <w:rStyle w:val="InternetLink"/>
                  <w:rFonts w:ascii="Times New Roman;Times;Serif" w:hAnsi="Times New Roman;Times;Serif"/>
                  <w:sz w:val="20"/>
                </w:rPr>
                <w:t>42</w:t>
              </w:r>
            </w:hyperlink>
          </w:p>
        </w:tc>
      </w:tr>
      <w:tr>
        <w:trPr/>
        <w:tc>
          <w:tcPr>
            <w:tcW w:w="4685" w:type="dxa"/>
            <w:tcBorders/>
            <w:shd w:fill="FFFFFF" w:val="clear"/>
            <w:vAlign w:val="center"/>
          </w:tcPr>
          <w:p>
            <w:pPr>
              <w:pStyle w:val="TableContents"/>
              <w:bidi w:val="0"/>
              <w:spacing w:before="0" w:after="283"/>
              <w:jc w:val="left"/>
              <w:rPr/>
            </w:pPr>
            <w:hyperlink w:anchor="i_007">
              <w:r>
                <w:rPr>
                  <w:rStyle w:val="InternetLink"/>
                  <w:rFonts w:ascii="Times New Roman;Times;Serif" w:hAnsi="Times New Roman;Times;Serif"/>
                  <w:sz w:val="20"/>
                </w:rPr>
                <w:t>Dilution</w:t>
              </w:r>
            </w:hyperlink>
          </w:p>
        </w:tc>
        <w:tc>
          <w:tcPr>
            <w:tcW w:w="515" w:type="dxa"/>
            <w:tcBorders/>
            <w:shd w:fill="FFFFFF" w:val="clear"/>
            <w:vAlign w:val="center"/>
          </w:tcPr>
          <w:p>
            <w:pPr>
              <w:pStyle w:val="TableContents"/>
              <w:bidi w:val="0"/>
              <w:spacing w:before="0" w:after="283"/>
              <w:jc w:val="right"/>
              <w:rPr/>
            </w:pPr>
            <w:hyperlink w:anchor="i_007">
              <w:r>
                <w:rPr>
                  <w:rStyle w:val="InternetLink"/>
                  <w:rFonts w:ascii="Times New Roman;Times;Serif" w:hAnsi="Times New Roman;Times;Serif"/>
                  <w:sz w:val="20"/>
                </w:rPr>
                <w:t>42</w:t>
              </w:r>
            </w:hyperlink>
          </w:p>
        </w:tc>
      </w:tr>
      <w:tr>
        <w:trPr/>
        <w:tc>
          <w:tcPr>
            <w:tcW w:w="4685" w:type="dxa"/>
            <w:tcBorders/>
            <w:shd w:fill="CCEEFF" w:val="clear"/>
            <w:vAlign w:val="center"/>
          </w:tcPr>
          <w:p>
            <w:pPr>
              <w:pStyle w:val="TableContents"/>
              <w:bidi w:val="0"/>
              <w:spacing w:before="0" w:after="283"/>
              <w:jc w:val="left"/>
              <w:rPr/>
            </w:pPr>
            <w:hyperlink w:anchor="i_008">
              <w:r>
                <w:rPr>
                  <w:rStyle w:val="InternetLink"/>
                  <w:rFonts w:ascii="Times New Roman;Times;Serif" w:hAnsi="Times New Roman;Times;Serif"/>
                  <w:sz w:val="20"/>
                </w:rPr>
                <w:t>Use of Proceeds</w:t>
              </w:r>
            </w:hyperlink>
          </w:p>
        </w:tc>
        <w:tc>
          <w:tcPr>
            <w:tcW w:w="515" w:type="dxa"/>
            <w:tcBorders/>
            <w:shd w:fill="CCEEFF" w:val="clear"/>
            <w:vAlign w:val="center"/>
          </w:tcPr>
          <w:p>
            <w:pPr>
              <w:pStyle w:val="TableContents"/>
              <w:bidi w:val="0"/>
              <w:spacing w:before="0" w:after="283"/>
              <w:jc w:val="right"/>
              <w:rPr/>
            </w:pPr>
            <w:hyperlink w:anchor="i_008">
              <w:r>
                <w:rPr>
                  <w:rStyle w:val="InternetLink"/>
                  <w:rFonts w:ascii="Times New Roman;Times;Serif" w:hAnsi="Times New Roman;Times;Serif"/>
                  <w:sz w:val="20"/>
                </w:rPr>
                <w:t>42</w:t>
              </w:r>
            </w:hyperlink>
          </w:p>
        </w:tc>
      </w:tr>
      <w:tr>
        <w:trPr/>
        <w:tc>
          <w:tcPr>
            <w:tcW w:w="4685" w:type="dxa"/>
            <w:tcBorders/>
            <w:shd w:fill="FFFFFF" w:val="clear"/>
            <w:vAlign w:val="center"/>
          </w:tcPr>
          <w:p>
            <w:pPr>
              <w:pStyle w:val="TableContents"/>
              <w:bidi w:val="0"/>
              <w:spacing w:before="0" w:after="283"/>
              <w:jc w:val="left"/>
              <w:rPr/>
            </w:pPr>
            <w:hyperlink w:anchor="i_010">
              <w:r>
                <w:rPr>
                  <w:rStyle w:val="InternetLink"/>
                  <w:rFonts w:ascii="Times New Roman;Times;Serif" w:hAnsi="Times New Roman;Times;Serif"/>
                  <w:sz w:val="20"/>
                </w:rPr>
                <w:t>Description of Share Capital</w:t>
              </w:r>
            </w:hyperlink>
          </w:p>
        </w:tc>
        <w:tc>
          <w:tcPr>
            <w:tcW w:w="515" w:type="dxa"/>
            <w:tcBorders/>
            <w:shd w:fill="FFFFFF" w:val="clear"/>
            <w:vAlign w:val="center"/>
          </w:tcPr>
          <w:p>
            <w:pPr>
              <w:pStyle w:val="TableContents"/>
              <w:bidi w:val="0"/>
              <w:spacing w:before="0" w:after="283"/>
              <w:jc w:val="right"/>
              <w:rPr/>
            </w:pPr>
            <w:hyperlink w:anchor="i_010">
              <w:r>
                <w:rPr>
                  <w:rStyle w:val="InternetLink"/>
                  <w:rFonts w:ascii="Times New Roman;Times;Serif" w:hAnsi="Times New Roman;Times;Serif"/>
                  <w:sz w:val="20"/>
                </w:rPr>
                <w:t>43</w:t>
              </w:r>
            </w:hyperlink>
          </w:p>
        </w:tc>
      </w:tr>
      <w:tr>
        <w:trPr/>
        <w:tc>
          <w:tcPr>
            <w:tcW w:w="4685" w:type="dxa"/>
            <w:tcBorders/>
            <w:shd w:fill="CCEEFF" w:val="clear"/>
            <w:vAlign w:val="center"/>
          </w:tcPr>
          <w:p>
            <w:pPr>
              <w:pStyle w:val="TableContents"/>
              <w:bidi w:val="0"/>
              <w:spacing w:before="0" w:after="283"/>
              <w:jc w:val="left"/>
              <w:rPr/>
            </w:pPr>
            <w:hyperlink w:anchor="i_011">
              <w:r>
                <w:rPr>
                  <w:rStyle w:val="InternetLink"/>
                  <w:rFonts w:ascii="Times New Roman;Times;Serif" w:hAnsi="Times New Roman;Times;Serif"/>
                  <w:sz w:val="20"/>
                </w:rPr>
                <w:t>Description of Ordinary Shares</w:t>
              </w:r>
            </w:hyperlink>
          </w:p>
        </w:tc>
        <w:tc>
          <w:tcPr>
            <w:tcW w:w="515" w:type="dxa"/>
            <w:tcBorders/>
            <w:shd w:fill="CCEEFF" w:val="clear"/>
            <w:vAlign w:val="center"/>
          </w:tcPr>
          <w:p>
            <w:pPr>
              <w:pStyle w:val="TableContents"/>
              <w:bidi w:val="0"/>
              <w:spacing w:before="0" w:after="283"/>
              <w:jc w:val="right"/>
              <w:rPr/>
            </w:pPr>
            <w:hyperlink w:anchor="i_011">
              <w:r>
                <w:rPr>
                  <w:rStyle w:val="InternetLink"/>
                  <w:rFonts w:ascii="Times New Roman;Times;Serif" w:hAnsi="Times New Roman;Times;Serif"/>
                  <w:sz w:val="20"/>
                </w:rPr>
                <w:t>62</w:t>
              </w:r>
            </w:hyperlink>
          </w:p>
        </w:tc>
      </w:tr>
      <w:tr>
        <w:trPr/>
        <w:tc>
          <w:tcPr>
            <w:tcW w:w="4685" w:type="dxa"/>
            <w:tcBorders/>
            <w:shd w:fill="FFFFFF" w:val="clear"/>
            <w:vAlign w:val="center"/>
          </w:tcPr>
          <w:p>
            <w:pPr>
              <w:pStyle w:val="TableContents"/>
              <w:bidi w:val="0"/>
              <w:spacing w:before="0" w:after="283"/>
              <w:jc w:val="left"/>
              <w:rPr/>
            </w:pPr>
            <w:hyperlink w:anchor="i_012">
              <w:r>
                <w:rPr>
                  <w:rStyle w:val="InternetLink"/>
                  <w:rFonts w:ascii="Times New Roman;Times;Serif" w:hAnsi="Times New Roman;Times;Serif"/>
                  <w:sz w:val="20"/>
                </w:rPr>
                <w:t>Description of Debt Securities</w:t>
              </w:r>
            </w:hyperlink>
          </w:p>
        </w:tc>
        <w:tc>
          <w:tcPr>
            <w:tcW w:w="515" w:type="dxa"/>
            <w:tcBorders/>
            <w:shd w:fill="FFFFFF" w:val="clear"/>
            <w:vAlign w:val="center"/>
          </w:tcPr>
          <w:p>
            <w:pPr>
              <w:pStyle w:val="TableContents"/>
              <w:bidi w:val="0"/>
              <w:spacing w:before="0" w:after="283"/>
              <w:jc w:val="right"/>
              <w:rPr/>
            </w:pPr>
            <w:hyperlink w:anchor="i_012">
              <w:r>
                <w:rPr>
                  <w:rStyle w:val="InternetLink"/>
                  <w:rFonts w:ascii="Times New Roman;Times;Serif" w:hAnsi="Times New Roman;Times;Serif"/>
                  <w:sz w:val="20"/>
                </w:rPr>
                <w:t>62</w:t>
              </w:r>
            </w:hyperlink>
          </w:p>
        </w:tc>
      </w:tr>
      <w:tr>
        <w:trPr/>
        <w:tc>
          <w:tcPr>
            <w:tcW w:w="4685" w:type="dxa"/>
            <w:tcBorders/>
            <w:shd w:fill="CCEEFF" w:val="clear"/>
            <w:vAlign w:val="center"/>
          </w:tcPr>
          <w:p>
            <w:pPr>
              <w:pStyle w:val="TableContents"/>
              <w:bidi w:val="0"/>
              <w:spacing w:before="0" w:after="283"/>
              <w:jc w:val="left"/>
              <w:rPr/>
            </w:pPr>
            <w:hyperlink w:anchor="i_013">
              <w:r>
                <w:rPr>
                  <w:rStyle w:val="InternetLink"/>
                  <w:rFonts w:ascii="Times New Roman;Times;Serif" w:hAnsi="Times New Roman;Times;Serif"/>
                  <w:sz w:val="20"/>
                </w:rPr>
                <w:t>Description of Warrants</w:t>
              </w:r>
            </w:hyperlink>
          </w:p>
        </w:tc>
        <w:tc>
          <w:tcPr>
            <w:tcW w:w="515" w:type="dxa"/>
            <w:tcBorders/>
            <w:shd w:fill="CCEEFF" w:val="clear"/>
            <w:vAlign w:val="center"/>
          </w:tcPr>
          <w:p>
            <w:pPr>
              <w:pStyle w:val="TableContents"/>
              <w:bidi w:val="0"/>
              <w:spacing w:before="0" w:after="283"/>
              <w:jc w:val="right"/>
              <w:rPr/>
            </w:pPr>
            <w:hyperlink w:anchor="i_013">
              <w:r>
                <w:rPr>
                  <w:rStyle w:val="InternetLink"/>
                  <w:rFonts w:ascii="Times New Roman;Times;Serif" w:hAnsi="Times New Roman;Times;Serif"/>
                  <w:sz w:val="20"/>
                </w:rPr>
                <w:t>64</w:t>
              </w:r>
            </w:hyperlink>
          </w:p>
        </w:tc>
      </w:tr>
      <w:tr>
        <w:trPr/>
        <w:tc>
          <w:tcPr>
            <w:tcW w:w="4685" w:type="dxa"/>
            <w:tcBorders/>
            <w:shd w:fill="FFFFFF" w:val="clear"/>
            <w:vAlign w:val="center"/>
          </w:tcPr>
          <w:p>
            <w:pPr>
              <w:pStyle w:val="TableContents"/>
              <w:bidi w:val="0"/>
              <w:spacing w:before="0" w:after="283"/>
              <w:jc w:val="left"/>
              <w:rPr/>
            </w:pPr>
            <w:hyperlink w:anchor="i_014">
              <w:r>
                <w:rPr>
                  <w:rStyle w:val="InternetLink"/>
                  <w:rFonts w:ascii="Times New Roman;Times;Serif" w:hAnsi="Times New Roman;Times;Serif"/>
                  <w:sz w:val="20"/>
                </w:rPr>
                <w:t>Description of Rights</w:t>
              </w:r>
            </w:hyperlink>
          </w:p>
        </w:tc>
        <w:tc>
          <w:tcPr>
            <w:tcW w:w="515" w:type="dxa"/>
            <w:tcBorders/>
            <w:shd w:fill="FFFFFF" w:val="clear"/>
            <w:vAlign w:val="center"/>
          </w:tcPr>
          <w:p>
            <w:pPr>
              <w:pStyle w:val="TableContents"/>
              <w:bidi w:val="0"/>
              <w:spacing w:before="0" w:after="283"/>
              <w:jc w:val="right"/>
              <w:rPr/>
            </w:pPr>
            <w:hyperlink w:anchor="i_014">
              <w:r>
                <w:rPr>
                  <w:rStyle w:val="InternetLink"/>
                  <w:rFonts w:ascii="Times New Roman;Times;Serif" w:hAnsi="Times New Roman;Times;Serif"/>
                  <w:sz w:val="20"/>
                </w:rPr>
                <w:t>66</w:t>
              </w:r>
            </w:hyperlink>
          </w:p>
        </w:tc>
      </w:tr>
      <w:tr>
        <w:trPr/>
        <w:tc>
          <w:tcPr>
            <w:tcW w:w="4685" w:type="dxa"/>
            <w:tcBorders/>
            <w:shd w:fill="CCEEFF" w:val="clear"/>
            <w:vAlign w:val="center"/>
          </w:tcPr>
          <w:p>
            <w:pPr>
              <w:pStyle w:val="TableContents"/>
              <w:bidi w:val="0"/>
              <w:spacing w:before="0" w:after="283"/>
              <w:jc w:val="left"/>
              <w:rPr/>
            </w:pPr>
            <w:hyperlink w:anchor="i_015">
              <w:r>
                <w:rPr>
                  <w:rStyle w:val="InternetLink"/>
                  <w:rFonts w:ascii="Times New Roman;Times;Serif" w:hAnsi="Times New Roman;Times;Serif"/>
                  <w:sz w:val="20"/>
                </w:rPr>
                <w:t>Description of Units</w:t>
              </w:r>
            </w:hyperlink>
          </w:p>
        </w:tc>
        <w:tc>
          <w:tcPr>
            <w:tcW w:w="515" w:type="dxa"/>
            <w:tcBorders/>
            <w:shd w:fill="CCEEFF" w:val="clear"/>
            <w:vAlign w:val="center"/>
          </w:tcPr>
          <w:p>
            <w:pPr>
              <w:pStyle w:val="TableContents"/>
              <w:bidi w:val="0"/>
              <w:spacing w:before="0" w:after="283"/>
              <w:jc w:val="right"/>
              <w:rPr/>
            </w:pPr>
            <w:hyperlink w:anchor="i_015">
              <w:r>
                <w:rPr>
                  <w:rStyle w:val="InternetLink"/>
                  <w:rFonts w:ascii="Times New Roman;Times;Serif" w:hAnsi="Times New Roman;Times;Serif"/>
                  <w:sz w:val="20"/>
                </w:rPr>
                <w:t>67</w:t>
              </w:r>
            </w:hyperlink>
          </w:p>
        </w:tc>
      </w:tr>
      <w:tr>
        <w:trPr/>
        <w:tc>
          <w:tcPr>
            <w:tcW w:w="4685" w:type="dxa"/>
            <w:tcBorders/>
            <w:shd w:fill="FFFFFF" w:val="clear"/>
            <w:vAlign w:val="center"/>
          </w:tcPr>
          <w:p>
            <w:pPr>
              <w:pStyle w:val="TableContents"/>
              <w:bidi w:val="0"/>
              <w:spacing w:before="0" w:after="283"/>
              <w:jc w:val="left"/>
              <w:rPr/>
            </w:pPr>
            <w:hyperlink w:anchor="i_016">
              <w:r>
                <w:rPr>
                  <w:rStyle w:val="InternetLink"/>
                  <w:rFonts w:ascii="Times New Roman;Times;Serif" w:hAnsi="Times New Roman;Times;Serif"/>
                  <w:sz w:val="20"/>
                </w:rPr>
                <w:t>Selling Shareholders</w:t>
              </w:r>
            </w:hyperlink>
          </w:p>
        </w:tc>
        <w:tc>
          <w:tcPr>
            <w:tcW w:w="515" w:type="dxa"/>
            <w:tcBorders/>
            <w:shd w:fill="FFFFFF" w:val="clear"/>
            <w:vAlign w:val="center"/>
          </w:tcPr>
          <w:p>
            <w:pPr>
              <w:pStyle w:val="TableContents"/>
              <w:bidi w:val="0"/>
              <w:spacing w:before="0" w:after="283"/>
              <w:jc w:val="right"/>
              <w:rPr/>
            </w:pPr>
            <w:hyperlink w:anchor="i_016">
              <w:r>
                <w:rPr>
                  <w:rStyle w:val="InternetLink"/>
                  <w:rFonts w:ascii="Times New Roman;Times;Serif" w:hAnsi="Times New Roman;Times;Serif"/>
                  <w:sz w:val="20"/>
                </w:rPr>
                <w:t>68</w:t>
              </w:r>
            </w:hyperlink>
          </w:p>
        </w:tc>
      </w:tr>
      <w:tr>
        <w:trPr/>
        <w:tc>
          <w:tcPr>
            <w:tcW w:w="4685" w:type="dxa"/>
            <w:tcBorders/>
            <w:shd w:fill="CCEEFF" w:val="clear"/>
            <w:vAlign w:val="center"/>
          </w:tcPr>
          <w:p>
            <w:pPr>
              <w:pStyle w:val="TableContents"/>
              <w:bidi w:val="0"/>
              <w:spacing w:before="0" w:after="283"/>
              <w:jc w:val="left"/>
              <w:rPr/>
            </w:pPr>
            <w:hyperlink w:anchor="i_017">
              <w:r>
                <w:rPr>
                  <w:rStyle w:val="InternetLink"/>
                  <w:rFonts w:ascii="Times New Roman;Times;Serif" w:hAnsi="Times New Roman;Times;Serif"/>
                  <w:sz w:val="20"/>
                </w:rPr>
                <w:t>Plan of Distribution</w:t>
              </w:r>
            </w:hyperlink>
          </w:p>
        </w:tc>
        <w:tc>
          <w:tcPr>
            <w:tcW w:w="515" w:type="dxa"/>
            <w:tcBorders/>
            <w:shd w:fill="CCEEFF" w:val="clear"/>
            <w:vAlign w:val="center"/>
          </w:tcPr>
          <w:p>
            <w:pPr>
              <w:pStyle w:val="TableContents"/>
              <w:bidi w:val="0"/>
              <w:spacing w:before="0" w:after="283"/>
              <w:jc w:val="right"/>
              <w:rPr/>
            </w:pPr>
            <w:hyperlink w:anchor="i_017">
              <w:r>
                <w:rPr>
                  <w:rStyle w:val="InternetLink"/>
                  <w:rFonts w:ascii="Times New Roman;Times;Serif" w:hAnsi="Times New Roman;Times;Serif"/>
                  <w:sz w:val="20"/>
                </w:rPr>
                <w:t>69</w:t>
              </w:r>
            </w:hyperlink>
          </w:p>
        </w:tc>
      </w:tr>
      <w:tr>
        <w:trPr/>
        <w:tc>
          <w:tcPr>
            <w:tcW w:w="4685" w:type="dxa"/>
            <w:tcBorders/>
            <w:shd w:fill="FFFFFF" w:val="clear"/>
            <w:vAlign w:val="center"/>
          </w:tcPr>
          <w:p>
            <w:pPr>
              <w:pStyle w:val="TableContents"/>
              <w:bidi w:val="0"/>
              <w:spacing w:before="0" w:after="283"/>
              <w:jc w:val="left"/>
              <w:rPr/>
            </w:pPr>
            <w:hyperlink w:anchor="i_018">
              <w:r>
                <w:rPr>
                  <w:rStyle w:val="InternetLink"/>
                  <w:rFonts w:ascii="Times New Roman;Times;Serif" w:hAnsi="Times New Roman;Times;Serif"/>
                  <w:sz w:val="20"/>
                </w:rPr>
                <w:t>Taxation</w:t>
              </w:r>
            </w:hyperlink>
          </w:p>
        </w:tc>
        <w:tc>
          <w:tcPr>
            <w:tcW w:w="515" w:type="dxa"/>
            <w:tcBorders/>
            <w:shd w:fill="FFFFFF" w:val="clear"/>
            <w:vAlign w:val="center"/>
          </w:tcPr>
          <w:p>
            <w:pPr>
              <w:pStyle w:val="TableContents"/>
              <w:bidi w:val="0"/>
              <w:spacing w:before="0" w:after="283"/>
              <w:jc w:val="right"/>
              <w:rPr/>
            </w:pPr>
            <w:hyperlink w:anchor="i_018">
              <w:r>
                <w:rPr>
                  <w:rStyle w:val="InternetLink"/>
                  <w:rFonts w:ascii="Times New Roman;Times;Serif" w:hAnsi="Times New Roman;Times;Serif"/>
                  <w:sz w:val="20"/>
                </w:rPr>
                <w:t>71</w:t>
              </w:r>
            </w:hyperlink>
          </w:p>
        </w:tc>
      </w:tr>
      <w:tr>
        <w:trPr/>
        <w:tc>
          <w:tcPr>
            <w:tcW w:w="4685" w:type="dxa"/>
            <w:tcBorders/>
            <w:shd w:fill="CCEEFF" w:val="clear"/>
            <w:vAlign w:val="center"/>
          </w:tcPr>
          <w:p>
            <w:pPr>
              <w:pStyle w:val="TableContents"/>
              <w:bidi w:val="0"/>
              <w:spacing w:before="0" w:after="283"/>
              <w:jc w:val="left"/>
              <w:rPr/>
            </w:pPr>
            <w:hyperlink w:anchor="i_019">
              <w:r>
                <w:rPr>
                  <w:rStyle w:val="InternetLink"/>
                  <w:rFonts w:ascii="Times New Roman;Times;Serif" w:hAnsi="Times New Roman;Times;Serif"/>
                  <w:sz w:val="20"/>
                </w:rPr>
                <w:t>Expenses</w:t>
              </w:r>
            </w:hyperlink>
          </w:p>
        </w:tc>
        <w:tc>
          <w:tcPr>
            <w:tcW w:w="515" w:type="dxa"/>
            <w:tcBorders/>
            <w:shd w:fill="CCEEFF" w:val="clear"/>
            <w:vAlign w:val="center"/>
          </w:tcPr>
          <w:p>
            <w:pPr>
              <w:pStyle w:val="TableContents"/>
              <w:bidi w:val="0"/>
              <w:spacing w:before="0" w:after="283"/>
              <w:jc w:val="right"/>
              <w:rPr/>
            </w:pPr>
            <w:hyperlink w:anchor="i_019">
              <w:r>
                <w:rPr>
                  <w:rStyle w:val="InternetLink"/>
                  <w:rFonts w:ascii="Times New Roman;Times;Serif" w:hAnsi="Times New Roman;Times;Serif"/>
                  <w:sz w:val="20"/>
                </w:rPr>
                <w:t>71</w:t>
              </w:r>
            </w:hyperlink>
          </w:p>
        </w:tc>
      </w:tr>
      <w:tr>
        <w:trPr/>
        <w:tc>
          <w:tcPr>
            <w:tcW w:w="4685" w:type="dxa"/>
            <w:tcBorders/>
            <w:shd w:fill="FFFFFF" w:val="clear"/>
            <w:vAlign w:val="center"/>
          </w:tcPr>
          <w:p>
            <w:pPr>
              <w:pStyle w:val="TableContents"/>
              <w:bidi w:val="0"/>
              <w:spacing w:before="0" w:after="283"/>
              <w:jc w:val="left"/>
              <w:rPr/>
            </w:pPr>
            <w:hyperlink w:anchor="i_020">
              <w:r>
                <w:rPr>
                  <w:rStyle w:val="InternetLink"/>
                  <w:rFonts w:ascii="Times New Roman;Times;Serif" w:hAnsi="Times New Roman;Times;Serif"/>
                  <w:sz w:val="20"/>
                </w:rPr>
                <w:t>Material Contracts</w:t>
              </w:r>
            </w:hyperlink>
          </w:p>
        </w:tc>
        <w:tc>
          <w:tcPr>
            <w:tcW w:w="515" w:type="dxa"/>
            <w:tcBorders/>
            <w:shd w:fill="FFFFFF" w:val="clear"/>
            <w:vAlign w:val="center"/>
          </w:tcPr>
          <w:p>
            <w:pPr>
              <w:pStyle w:val="TableContents"/>
              <w:bidi w:val="0"/>
              <w:spacing w:before="0" w:after="283"/>
              <w:jc w:val="right"/>
              <w:rPr/>
            </w:pPr>
            <w:hyperlink w:anchor="i_020">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1">
              <w:r>
                <w:rPr>
                  <w:rStyle w:val="InternetLink"/>
                  <w:rFonts w:ascii="Times New Roman;Times;Serif" w:hAnsi="Times New Roman;Times;Serif"/>
                  <w:sz w:val="20"/>
                </w:rPr>
                <w:t>Material Changes</w:t>
              </w:r>
            </w:hyperlink>
          </w:p>
        </w:tc>
        <w:tc>
          <w:tcPr>
            <w:tcW w:w="515" w:type="dxa"/>
            <w:tcBorders/>
            <w:shd w:fill="CCEEFF" w:val="clear"/>
            <w:vAlign w:val="center"/>
          </w:tcPr>
          <w:p>
            <w:pPr>
              <w:pStyle w:val="TableContents"/>
              <w:bidi w:val="0"/>
              <w:spacing w:before="0" w:after="283"/>
              <w:jc w:val="right"/>
              <w:rPr/>
            </w:pPr>
            <w:hyperlink w:anchor="i_021">
              <w:r>
                <w:rPr>
                  <w:rStyle w:val="InternetLink"/>
                  <w:rFonts w:ascii="Times New Roman;Times;Serif" w:hAnsi="Times New Roman;Times;Serif"/>
                  <w:sz w:val="20"/>
                </w:rPr>
                <w:t>72</w:t>
              </w:r>
            </w:hyperlink>
          </w:p>
        </w:tc>
      </w:tr>
      <w:tr>
        <w:trPr/>
        <w:tc>
          <w:tcPr>
            <w:tcW w:w="4685" w:type="dxa"/>
            <w:tcBorders/>
            <w:shd w:fill="FFFFFF" w:val="clear"/>
            <w:vAlign w:val="center"/>
          </w:tcPr>
          <w:p>
            <w:pPr>
              <w:pStyle w:val="TableContents"/>
              <w:bidi w:val="0"/>
              <w:spacing w:before="0" w:after="283"/>
              <w:jc w:val="left"/>
              <w:rPr/>
            </w:pPr>
            <w:hyperlink w:anchor="i_022">
              <w:r>
                <w:rPr>
                  <w:rStyle w:val="InternetLink"/>
                  <w:rFonts w:ascii="Times New Roman;Times;Serif" w:hAnsi="Times New Roman;Times;Serif"/>
                  <w:sz w:val="20"/>
                </w:rPr>
                <w:t>Legal Matters</w:t>
              </w:r>
            </w:hyperlink>
          </w:p>
        </w:tc>
        <w:tc>
          <w:tcPr>
            <w:tcW w:w="515" w:type="dxa"/>
            <w:tcBorders/>
            <w:shd w:fill="FFFFFF" w:val="clear"/>
            <w:vAlign w:val="center"/>
          </w:tcPr>
          <w:p>
            <w:pPr>
              <w:pStyle w:val="TableContents"/>
              <w:bidi w:val="0"/>
              <w:spacing w:before="0" w:after="283"/>
              <w:jc w:val="right"/>
              <w:rPr/>
            </w:pPr>
            <w:hyperlink w:anchor="i_022">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3">
              <w:r>
                <w:rPr>
                  <w:rStyle w:val="InternetLink"/>
                  <w:rFonts w:ascii="Times New Roman;Times;Serif" w:hAnsi="Times New Roman;Times;Serif"/>
                  <w:sz w:val="20"/>
                </w:rPr>
                <w:t>Experts</w:t>
              </w:r>
            </w:hyperlink>
          </w:p>
        </w:tc>
        <w:tc>
          <w:tcPr>
            <w:tcW w:w="515" w:type="dxa"/>
            <w:tcBorders/>
            <w:shd w:fill="CCEEFF" w:val="clear"/>
            <w:vAlign w:val="center"/>
          </w:tcPr>
          <w:p>
            <w:pPr>
              <w:pStyle w:val="TableContents"/>
              <w:bidi w:val="0"/>
              <w:spacing w:before="0" w:after="283"/>
              <w:jc w:val="right"/>
              <w:rPr/>
            </w:pPr>
            <w:hyperlink w:anchor="i_023">
              <w:r>
                <w:rPr>
                  <w:rStyle w:val="InternetLink"/>
                  <w:rFonts w:ascii="Times New Roman;Times;Serif" w:hAnsi="Times New Roman;Times;Serif"/>
                  <w:sz w:val="20"/>
                </w:rPr>
                <w:t>72</w:t>
              </w:r>
            </w:hyperlink>
          </w:p>
        </w:tc>
      </w:tr>
      <w:tr>
        <w:trPr/>
        <w:tc>
          <w:tcPr>
            <w:tcW w:w="4685" w:type="dxa"/>
            <w:tcBorders/>
            <w:shd w:fill="FFFFFF" w:val="clear"/>
            <w:vAlign w:val="center"/>
          </w:tcPr>
          <w:p>
            <w:pPr>
              <w:pStyle w:val="TableContents"/>
              <w:bidi w:val="0"/>
              <w:spacing w:before="0" w:after="283"/>
              <w:jc w:val="left"/>
              <w:rPr/>
            </w:pPr>
            <w:hyperlink w:anchor="i_024">
              <w:r>
                <w:rPr>
                  <w:rStyle w:val="InternetLink"/>
                  <w:rFonts w:ascii="Times New Roman;Times;Serif" w:hAnsi="Times New Roman;Times;Serif"/>
                  <w:sz w:val="20"/>
                </w:rPr>
                <w:t>Incorporation of Documents by Reference</w:t>
              </w:r>
            </w:hyperlink>
          </w:p>
        </w:tc>
        <w:tc>
          <w:tcPr>
            <w:tcW w:w="515" w:type="dxa"/>
            <w:tcBorders/>
            <w:shd w:fill="FFFFFF" w:val="clear"/>
            <w:vAlign w:val="center"/>
          </w:tcPr>
          <w:p>
            <w:pPr>
              <w:pStyle w:val="TableContents"/>
              <w:bidi w:val="0"/>
              <w:spacing w:before="0" w:after="283"/>
              <w:jc w:val="right"/>
              <w:rPr/>
            </w:pPr>
            <w:hyperlink w:anchor="i_024">
              <w:r>
                <w:rPr>
                  <w:rStyle w:val="InternetLink"/>
                  <w:rFonts w:ascii="Times New Roman;Times;Serif" w:hAnsi="Times New Roman;Times;Serif"/>
                  <w:sz w:val="20"/>
                </w:rPr>
                <w:t>72</w:t>
              </w:r>
            </w:hyperlink>
          </w:p>
        </w:tc>
      </w:tr>
      <w:tr>
        <w:trPr/>
        <w:tc>
          <w:tcPr>
            <w:tcW w:w="4685" w:type="dxa"/>
            <w:tcBorders/>
            <w:shd w:fill="CCEEFF" w:val="clear"/>
            <w:vAlign w:val="center"/>
          </w:tcPr>
          <w:p>
            <w:pPr>
              <w:pStyle w:val="TableContents"/>
              <w:bidi w:val="0"/>
              <w:spacing w:before="0" w:after="283"/>
              <w:jc w:val="left"/>
              <w:rPr/>
            </w:pPr>
            <w:hyperlink w:anchor="i_025">
              <w:r>
                <w:rPr>
                  <w:rStyle w:val="InternetLink"/>
                  <w:rFonts w:ascii="Times New Roman;Times;Serif" w:hAnsi="Times New Roman;Times;Serif"/>
                  <w:sz w:val="20"/>
                </w:rPr>
                <w:t>Where You Can Find Additional Information</w:t>
              </w:r>
            </w:hyperlink>
          </w:p>
        </w:tc>
        <w:tc>
          <w:tcPr>
            <w:tcW w:w="515" w:type="dxa"/>
            <w:tcBorders/>
            <w:shd w:fill="CCEEFF" w:val="clear"/>
            <w:vAlign w:val="center"/>
          </w:tcPr>
          <w:p>
            <w:pPr>
              <w:pStyle w:val="TableContents"/>
              <w:bidi w:val="0"/>
              <w:spacing w:before="0" w:after="283"/>
              <w:jc w:val="right"/>
              <w:rPr/>
            </w:pPr>
            <w:hyperlink w:anchor="i_025">
              <w:r>
                <w:rPr>
                  <w:rStyle w:val="InternetLink"/>
                  <w:rFonts w:ascii="Times New Roman;Times;Serif" w:hAnsi="Times New Roman;Times;Serif"/>
                  <w:sz w:val="20"/>
                </w:rPr>
                <w:t>73</w:t>
              </w:r>
            </w:hyperlink>
          </w:p>
        </w:tc>
      </w:tr>
      <w:tr>
        <w:trPr/>
        <w:tc>
          <w:tcPr>
            <w:tcW w:w="4685" w:type="dxa"/>
            <w:tcBorders/>
            <w:shd w:fill="FFFFFF" w:val="clear"/>
            <w:vAlign w:val="center"/>
          </w:tcPr>
          <w:p>
            <w:pPr>
              <w:pStyle w:val="TableContents"/>
              <w:bidi w:val="0"/>
              <w:spacing w:before="0" w:after="283"/>
              <w:jc w:val="left"/>
              <w:rPr/>
            </w:pPr>
            <w:hyperlink w:anchor="i_026">
              <w:r>
                <w:rPr>
                  <w:rStyle w:val="InternetLink"/>
                  <w:rFonts w:ascii="Times New Roman;Times;Serif" w:hAnsi="Times New Roman;Times;Serif"/>
                  <w:sz w:val="20"/>
                </w:rPr>
                <w:t>Enforceability of Civil Liabilities</w:t>
              </w:r>
            </w:hyperlink>
          </w:p>
        </w:tc>
        <w:tc>
          <w:tcPr>
            <w:tcW w:w="515" w:type="dxa"/>
            <w:tcBorders/>
            <w:shd w:fill="FFFFFF" w:val="clear"/>
            <w:vAlign w:val="center"/>
          </w:tcPr>
          <w:p>
            <w:pPr>
              <w:pStyle w:val="TableContents"/>
              <w:bidi w:val="0"/>
              <w:spacing w:before="0" w:after="283"/>
              <w:jc w:val="right"/>
              <w:rPr/>
            </w:pPr>
            <w:hyperlink w:anchor="i_026">
              <w:r>
                <w:rPr>
                  <w:rStyle w:val="InternetLink"/>
                  <w:rFonts w:ascii="Times New Roman;Times;Serif" w:hAnsi="Times New Roman;Times;Serif"/>
                  <w:sz w:val="20"/>
                </w:rPr>
                <w:t>74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we nor the Selling Shareholders have authorized any other person to provide you with different or additional information other than that contained in this prospectus. We and the Selling Shareholders take no responsibility for and can provide no assurance as to the reliability of, any other information that others may provide. We and the Selling Shareholders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 You should also read this prospectus together with the additional information described under “Where You Can Find Additional Information” and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be supplemented from time to time to add, update, or change information in this prospectus. Any statement contained in this prospectus will be deemed to be modified or superseded for purposes of this prospectus to the extent that a statement contained in a prospectus supplement modifies or supersedes such statement. Any statement so modified will be deemed to constitute a part of this prospectus only as so modified, and any statement so superseded will be deemed not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we have not, and the Selling Shareholders have not,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covered hereby and the distribution of this prospectus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i_001"/>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(the “SEC”) utilizing a “shelf” registration process. Under this shelf registration process, we may, from time to time, sell the securities described in this prospectus in one or more offerings, up to a total offering amount of US$100,000,000, and the Selling Shareholders referred to in this prospectus and identified in supplements to this prospectus may sell up to an aggregate amount of 447,917 Ordinary Shares in one or more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and the Selling Shareholders may offer. This prospectus and any accompanying prospectus supplement do not contain all of the information included in the registration statement. We have omitted parts of the registration statement in accordance with the rules and regulations of the SEC. Statements contained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these matters. This prospectus may be supplemented by a prospectus supplement that may add, update, or change information contained or incorporated by reference in this prospectus. You should read both this prospectus and any prospectus supplement or other offering materials together with additional information described under the headings “Where You Can Find Additional Information” and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any securities offered by us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Notwithstanding the foregoing, the Selling Shareholders may sell the Ordinary Shares offered by them registered hereby without being accompanied by a prospectus supplement.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“Incorporation of Documents by Reference” before investing in any of the securities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or incorporated by reference in this prospectus or in the prospectus supplement. Neither we nor the Selling Shareholders have authorized anyone to provide you with additional or different information. Neither we nor the Selling Shareholders take responsibility for, nor can we provide assurance as to the reliability of, any other information that others may provide. Neither we nor the Selling Shareholders are making an offer to sell these securities in any jurisdiction where the offer or sale is not permitted. You should assume that the information in this prospectus, any applicable prospectus supplement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a security, unless we indicate otherwise. Our business, financial condition, results of operations and/or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i_002"/>
      <w:bookmarkEnd w:id="18"/>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An Rui Tai BVI” are to AnRuiTai Investment Limited, a BVI business company incorporated in the BVI with limited liability in November 2018, owned as to 90% by Ms. Wenxiu Zhong and 10% by Mr. Sheng Gong;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Baosheng BVI” are to Baosheng Media Group Limited, a BVI business company incorporated with limited liability under the laws of the BVI;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Baosheng Group” are to Baosheng Media Group Holdings Limited, an exempted company with limited liability incorporated under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Baosheng Hong Kong” are to Baosheng Group’s wholly owned subsidiary, Baosheng Media Group (Hong Kong) Holdings Limited, a Hong Kong company with limited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Baosheng Network” are to Beijing Baosheng Network Technology Co., Ltd.,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Baosheng Technology” are to Baosheng Technology (Horgos)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Beijing Baosheng” are to Beijing Baosheng Technology Company Limited,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Beijing Xunhuo” are to Beijing Xunhuo E-commerce Co., Ltd., a limited liability company established in the PRC and a direct wholly-owned subsidiary of Baosheng Network;</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95"/>
        <w:gridCol w:w="320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200" w:type="dxa"/>
            <w:tcBorders/>
            <w:vAlign w:val="center"/>
          </w:tcPr>
          <w:p>
            <w:pPr>
              <w:pStyle w:val="TableContents"/>
              <w:bidi w:val="0"/>
              <w:spacing w:before="0" w:after="283"/>
              <w:jc w:val="both"/>
              <w:rPr/>
            </w:pPr>
            <w:r>
              <w:rPr/>
              <w:t>“</w:t>
            </w:r>
            <w:r>
              <w:rPr>
                <w:rFonts w:ascii="Times New Roman;Times;Serif" w:hAnsi="Times New Roman;Times;Serif"/>
                <w:sz w:val="20"/>
              </w:rPr>
              <w:t>BVI” are to the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China” or the “PRC” are to the People’s Republic of China, including the special administrative regions of Hong Kong and Macau and excluding Taiwan for the purposes of this prospectus only;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Deng Guan BVI” are to Deng Guan Investment Limited, a BVI business company incorporated in the BVI with limited liability in November 2019 and is wholly owned by Mr. Hui Yu;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EJAM BVI” are to EJAM New Media Holdings Limited, a BVI business company incorporated in the BVI with limited liability in November 2019 and is a direct wholly owned subsidiary of EJAM International;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EJAM Group” are to EJAM Group Co., Ltd., a joint stock company established in the PRC with limited liability on November 23, 2010, whose shares are quoted on the National Equities Exchange and Quotations (</w:t>
            </w:r>
            <w:r>
              <w:rPr>
                <w:rFonts w:eastAsia="Times New Roman;Times;Serif"/>
              </w:rPr>
              <w:t>全国中小企业股份转让系统</w:t>
            </w:r>
            <w:r>
              <w:rPr/>
              <w:t>) (stock code: 834498), and is a financial investor of our Company and one of our pre-IPO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EJAM International” are EJAM International Limited, a company formed in Hong Kong with limited liability in November 2015 and is a direct wholly owned subsidiary of EJAM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Etone Investment” are to Etone Investment Development Limited, a BVI business company incorporated in the BVI with limited liability in May 2016 and is wholly owned by Mr. Baotian Guo;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Everlasting Innovation” are to Everlasting Innovation Development Limited, a business company incorporated in the BVI with limited liability in July 2018 and is wholly owned by Mr. Kei Ming Wang;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Horgos Baosheng” are to Horgos Baosheng Advertising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Kashi Baosheng” are to Kashi Baosheng Information Technology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95"/>
        <w:gridCol w:w="756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65" w:type="dxa"/>
            <w:tcBorders/>
            <w:vAlign w:val="center"/>
          </w:tcPr>
          <w:p>
            <w:pPr>
              <w:pStyle w:val="TableContents"/>
              <w:bidi w:val="0"/>
              <w:spacing w:before="0" w:after="283"/>
              <w:jc w:val="both"/>
              <w:rPr/>
            </w:pPr>
            <w:r>
              <w:rPr/>
              <w:t>“</w:t>
            </w:r>
            <w:r>
              <w:rPr>
                <w:rFonts w:ascii="Times New Roman;Times;Serif" w:hAnsi="Times New Roman;Times;Serif"/>
                <w:sz w:val="20"/>
              </w:rPr>
              <w:t>our subsidiaries” or “the subsidiaries” are to the Company’s direct and indirect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operating entities” are to the Company’s subsidiaries with business activities, namely Beijing Baosheng, Horgos Baosheng, Baosheng Technology, Kashi Baosheng, Baosheng Network and Beijing Xunhuo;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PBCY Investment” are to PBCY Investment Limited, a business company incorporated in the BVI with limited liability in November 2018, and is owned as to 86.35% by Pubang Landscape through Pubang Hong Kong and 13.65% by Mr. Chan through CYY Holdings;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Pubang Hong Kong” are to Pubang Landscape Architecture (HK) Co., Ltd., a company formed in Hong Kong with limited liability in September 2013 and is a direct wholly owned subsidiary of Pubang Landscape;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Pubang Landscape” are to Pubang Landscape Architecture Co., Ltd., a joint stock company established in the PRC with limited liability on July 19, 1995, whose shares are listed on the Shenzhen Stock Exchange (stock code: 002663.SZ), and is a financial investor of our Company and one of our pre-IPO investors;</w:t>
            </w:r>
          </w:p>
        </w:tc>
      </w:tr>
    </w:tbl>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5"/>
        <w:gridCol w:w="95"/>
        <w:gridCol w:w="93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35" w:type="dxa"/>
            <w:tcBorders/>
            <w:vAlign w:val="center"/>
          </w:tcPr>
          <w:p>
            <w:pPr>
              <w:pStyle w:val="TableContents"/>
              <w:bidi w:val="0"/>
              <w:spacing w:before="0" w:after="283"/>
              <w:jc w:val="both"/>
              <w:rPr/>
            </w:pPr>
            <w:r>
              <w:rPr/>
              <w:t>“</w:t>
            </w:r>
            <w:r>
              <w:rPr>
                <w:rFonts w:ascii="Times New Roman;Times;Serif" w:hAnsi="Times New Roman;Times;Serif"/>
                <w:sz w:val="20"/>
              </w:rPr>
              <w:t>shares,” “Shares,” or “Ordinary Shares” are to the ordinary shares of the Company, par value US$0.0096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Warrants” are to the warrants we issued to the certain investors in a private placement closed on March 18, 2021. One Warrant includes the right to purchase 5/192 Ordinary Share at an exercise price of $107.712 per Ordinary Share. However, no fractional shares will be issued upon the exercise of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we,” “us,” or the “Company” are to Baosheng Group and when describing the Company’s consolidated financial information, also include the Company’s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certain technical terms used in this prospectus, references to:</w:t>
      </w:r>
    </w:p>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95"/>
        <w:gridCol w:w="885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855" w:type="dxa"/>
            <w:tcBorders/>
            <w:vAlign w:val="center"/>
          </w:tcPr>
          <w:p>
            <w:pPr>
              <w:pStyle w:val="TableContents"/>
              <w:bidi w:val="0"/>
              <w:spacing w:before="0" w:after="283"/>
              <w:jc w:val="both"/>
              <w:rPr/>
            </w:pPr>
            <w:r>
              <w:rPr/>
              <w:t>“</w:t>
            </w:r>
            <w:r>
              <w:rPr>
                <w:rFonts w:ascii="Times New Roman;Times;Serif" w:hAnsi="Times New Roman;Times;Serif"/>
                <w:sz w:val="20"/>
              </w:rPr>
              <w:t>ad inventory” are to the space available to advertisers on digital platforms in the online marketing industry;</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95"/>
        <w:gridCol w:w="240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05" w:type="dxa"/>
            <w:tcBorders/>
            <w:vAlign w:val="center"/>
          </w:tcPr>
          <w:p>
            <w:pPr>
              <w:pStyle w:val="TableContents"/>
              <w:bidi w:val="0"/>
              <w:spacing w:before="0" w:after="283"/>
              <w:jc w:val="both"/>
              <w:rPr/>
            </w:pPr>
            <w:r>
              <w:rPr/>
              <w:t>“</w:t>
            </w:r>
            <w:r>
              <w:rPr>
                <w:rFonts w:ascii="Times New Roman;Times;Serif" w:hAnsi="Times New Roman;Times;Serif"/>
                <w:sz w:val="20"/>
              </w:rPr>
              <w:t>ad” are to an advertisement;</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95"/>
        <w:gridCol w:w="100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5" w:type="dxa"/>
            <w:tcBorders/>
            <w:vAlign w:val="center"/>
          </w:tcPr>
          <w:p>
            <w:pPr>
              <w:pStyle w:val="TableContents"/>
              <w:bidi w:val="0"/>
              <w:spacing w:before="0" w:after="283"/>
              <w:jc w:val="both"/>
              <w:rPr/>
            </w:pPr>
            <w:r>
              <w:rPr/>
              <w:t>“</w:t>
            </w:r>
            <w:r>
              <w:rPr>
                <w:rFonts w:ascii="Times New Roman;Times;Serif" w:hAnsi="Times New Roman;Times;Serif"/>
                <w:sz w:val="20"/>
              </w:rPr>
              <w:t>CPA” are to cost per acquisition, an online advertising pricing model where the advertiser pays for a specified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CPC” are to cost per click, an online advertising pricing model where an advertiser pays a media (typically a search engine, website owner, or a network of websites) when the ad is clicked;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CPM” are to cost per mille, an online advertising pricing model where an advertiser pays for one thousand views or clicks of an advertisement;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CPT” are to cost per time, an online advertising pricing model where an advertiser pays for an advertisement to be placed for a set amount of time;</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95"/>
        <w:gridCol w:w="99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5" w:type="dxa"/>
            <w:tcBorders/>
            <w:vAlign w:val="center"/>
          </w:tcPr>
          <w:p>
            <w:pPr>
              <w:pStyle w:val="TableContents"/>
              <w:bidi w:val="0"/>
              <w:spacing w:before="0" w:after="283"/>
              <w:jc w:val="both"/>
              <w:rPr/>
            </w:pPr>
            <w:r>
              <w:rPr/>
              <w:t>“</w:t>
            </w:r>
            <w:r>
              <w:rPr>
                <w:rFonts w:ascii="Times New Roman;Times;Serif" w:hAnsi="Times New Roman;Times;Serif"/>
                <w:sz w:val="20"/>
              </w:rPr>
              <w:t>feed” are to an internet service in which updates from electronic information sources are presented in a continuous stream;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gross billing” are to the actual dollar amount of advertising spend of advertisers, net of any rebates and discounts given to those advertisers;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in-feed ad” are to a form of ads that are typically placed in article and content feeds and mimic the surrounding site design and aesthetics so that the articles or content feeds are mixed with the in-feed ads providing the audience an uninterrupted content flow;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key opinion leaders” or “KOL” are to individuals deemed to have the potential to create engagement, drive conversation or sell products or services with the intended target audience. These individuals can range from being celebrities to more micro-targeted professional or nonprofessional “peers”;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media costs” are to the costs for acquisition of ad inventory or other advertising services from media and other advertising service providers as offset by rebates we receive from the relevant media and advertising service providers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mobile app ad” are to a form of ads which are served on apps in various formats such as display ads and video ads, and for the purpose of this prospectus excluding in-feed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mobile app” are to a computer program or software application designed to run on a mobile device such as phone, tablet, or watch;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SEM” are to search engine marketing, a form of online marketing that involves the promotion of websites by increasing their visibility in search engine results pages and search-related products and services;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t>“</w:t>
            </w:r>
            <w:r>
              <w:rPr>
                <w:rFonts w:ascii="Times New Roman;Times;Serif" w:hAnsi="Times New Roman;Times;Serif"/>
                <w:sz w:val="20"/>
              </w:rPr>
              <w:t>social media marketing” are to the use of social media platforms and websites to promote a product or service, including the distribution of KOL content which may be framed as testimonial advertising where they play the role of a potential buyer themselves, or they may be third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i_003"/>
      <w:bookmarkEnd w:id="19"/>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our SEC filings that are incorporated by reference into this prospectus contain or incorporate by reference forward-looking statements within the meaning of Section 27A of the Securities Act and Section 21E of the Securities Exchange Act of 1934, as amended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i_027"/>
      <w:bookmarkEnd w:id="20"/>
      <w:r>
        <w:rPr>
          <w:rFonts w:ascii="Times New Roman;Times;Serif" w:hAnsi="Times New Roman;Times;Serif"/>
          <w:b/>
          <w:i w:val="false"/>
          <w:caps/>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incorporated in the Cayman Islands and we are not a Chinese operating company. As a holding company with no operations of our own, our operations are conducted in China through the operating entities, and this structure involves unique risks to investors. Holders of our Ordinary Shares will not directly hold any equity interests in the operating entities. The Chinese regulatory authorities could disallow our corporate structure, which could result in a material change in our operations and the value of our Ordinary Shares could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adopted a VIE structure. The following diagram illustrates our current corporate structure, which includes our significant subsidiaries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77150" cy="5391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7677150" cy="5391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both"/>
              <w:rPr/>
            </w:pPr>
            <w:r>
              <w:rPr/>
              <w:t>“</w:t>
            </w:r>
            <w:r>
              <w:rPr>
                <w:rFonts w:ascii="Times New Roman;Times;Serif" w:hAnsi="Times New Roman;Times;Serif"/>
                <w:sz w:val="20"/>
              </w:rPr>
              <w:t>EJAM Group” represents EJAM Group Co., Ltd., a joint stock company established in the PRC with limited liability on November 23, 2010, whose shares are quoted on the National Equities Exchange and Quotations (</w:t>
            </w:r>
            <w:r>
              <w:rPr>
                <w:rFonts w:eastAsia="Times New Roman;Times;Serif"/>
              </w:rPr>
              <w:t>全国中小企业股份转让系统</w:t>
            </w:r>
            <w:r>
              <w:rPr/>
              <w:t>) (stock code: 834498), and is a financial investor of our Company and one of our pre-IPO investors.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9" w:type="dxa"/>
            <w:tcBorders/>
            <w:vAlign w:val="center"/>
          </w:tcPr>
          <w:p>
            <w:pPr>
              <w:pStyle w:val="TableContents"/>
              <w:bidi w:val="0"/>
              <w:spacing w:before="0" w:after="283"/>
              <w:jc w:val="both"/>
              <w:rPr/>
            </w:pPr>
            <w:r>
              <w:rPr/>
              <w:t>“</w:t>
            </w:r>
            <w:r>
              <w:rPr>
                <w:rFonts w:ascii="Times New Roman;Times;Serif" w:hAnsi="Times New Roman;Times;Serif"/>
                <w:sz w:val="20"/>
              </w:rPr>
              <w:t>EJAM International” represents EJAM International Limited, a company formed in Hong Kong with limited liability in November 2015 and is a direct wholly owned subsidiary of EJAM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9" w:type="dxa"/>
            <w:tcBorders/>
            <w:vAlign w:val="center"/>
          </w:tcPr>
          <w:p>
            <w:pPr>
              <w:pStyle w:val="TableContents"/>
              <w:bidi w:val="0"/>
              <w:spacing w:before="0" w:after="283"/>
              <w:jc w:val="both"/>
              <w:rPr/>
            </w:pPr>
            <w:r>
              <w:rPr/>
              <w:t>“</w:t>
            </w:r>
            <w:r>
              <w:rPr>
                <w:rFonts w:ascii="Times New Roman;Times;Serif" w:hAnsi="Times New Roman;Times;Serif"/>
                <w:sz w:val="20"/>
              </w:rPr>
              <w:t>Pubang Landscape” represents Pubang Landscape Architecture Co., Ltd., a joint stock company established in the PRC with limited liability on July 19, 1995, whose shares are listed on the Shenzhen Stock Exchange (stock code: 002663.SZ), and is a financial investor of our Company and one of our pre-IPO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2" w:type="dxa"/>
            <w:tcBorders/>
            <w:vAlign w:val="center"/>
          </w:tcPr>
          <w:p>
            <w:pPr>
              <w:pStyle w:val="TableContents"/>
              <w:bidi w:val="0"/>
              <w:spacing w:before="0" w:after="283"/>
              <w:jc w:val="both"/>
              <w:rPr/>
            </w:pPr>
            <w:r>
              <w:rPr/>
              <w:t>“</w:t>
            </w:r>
            <w:r>
              <w:rPr>
                <w:rFonts w:ascii="Times New Roman;Times;Serif" w:hAnsi="Times New Roman;Times;Serif"/>
                <w:sz w:val="20"/>
              </w:rPr>
              <w:t>Pubang Hong Kong” represents Pubang Landscape Architecture (HK) Co., Ltd., a company formed in Hong Kong with limited liability in September 2013 and is a direct wholly owned subsidiary of Pubang Landscape.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6" w:type="dxa"/>
            <w:tcBorders/>
            <w:vAlign w:val="center"/>
          </w:tcPr>
          <w:p>
            <w:pPr>
              <w:pStyle w:val="TableContents"/>
              <w:bidi w:val="0"/>
              <w:spacing w:before="0" w:after="283"/>
              <w:jc w:val="both"/>
              <w:rPr/>
            </w:pPr>
            <w:r>
              <w:rPr/>
              <w:t>“</w:t>
            </w:r>
            <w:r>
              <w:rPr>
                <w:rFonts w:ascii="Times New Roman;Times;Serif" w:hAnsi="Times New Roman;Times;Serif"/>
                <w:sz w:val="20"/>
              </w:rPr>
              <w:t>CYY Holdings” represents CYY Holdings Limited, a business company formed in the BVI with limited liability in November 2013 and is wholly owned by Mr. Yick Yan Chan.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each shareholder’s ownership, please refer to the beneficial ownership table in “Item 6. Directors, Senior Management and Employees—6.E. Share Ownership” in our annual report on Form 20-F for the fiscal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Permissions Required from PRC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being based in China, which could cause the value of our securities to become worthless. PRC laws and regulations governing our current business operations are sometimes vague and uncertain, and as a result these risks may result in material changes in the operations of the PRC subsidiaries, significant depreciation of the value of our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neither we nor our subsidiaries have been involved in any investigations on cybersecurity review initiated by any PRC regulatory authority, nor has any of them received any inquiry, notice, or sanction. In the opinion of our PRC counsel, Beijing Dacheng Law Offices, LLP, we are not subject to cybersecurity review with the CAC, under the Measures for Cybersecurity Censorship which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Measures for Cybersecurity Censorship; we are also not subject to network data security review by the CAC if the draft Regulations on Network Data Security Administration are enacted as proposed, since we currently do not have over one million users’ personal information and do not collect data that affects or may affect national security and we do not anticipate that we will be collecting over one million users’ personal information or data that affects or may affect national security in the foreseeable future, which we understand might otherwise subject us to the draft Regulations on Network Data Security Administration. See “Risk Factors—Risks Related to Doing Business in China—Recent greater oversight by the CAC over data security, particularly for companies seeking to list on a foreign exchange, could adversely impact our business and our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PRC government also exerts more control over offerings conducted overseas and foreign investment in China-based issuers.</w:t>
      </w:r>
      <w:r>
        <w:rPr>
          <w:rFonts w:ascii="Times New Roman;Times;Serif" w:hAnsi="Times New Roman;Times;Serif"/>
          <w:b w:val="false"/>
          <w:i w:val="false"/>
          <w:caps w:val="false"/>
          <w:smallCaps w:val="false"/>
          <w:sz w:val="20"/>
        </w:rPr>
        <w:t> Furthermore, on February 17, 2023, the CSRC released the Trial Measures and five supporting guidelines, which took effect on March 31, 2023. Pursuant to the Trial Measures,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On the same day, the CSRC also held a press conference for the release of the Trial Measures and issued the CSRC Notice, which, among others, clarifies that PRC domestic companies that have already been listed overseas before the effective date of the Trial Measures, which is March 31, 2023, shall be deemed as Existing Issuers, and Existing Issuers are not required to complete the filing procedures with the CSRC immediately, and they shall be required to file with the CSRC for any subsequent offerings. Based on the foregoing, we are an Existing Issuer, and is required to file with the CSRC for any subsequent offerings within three (3) working days after the completion of each offering. Therefore, we are required to go through filing procedures through our major operating entity incorporated in the PRC with the CSRC within three (3) working days after the completion of an offering pursuant to any accompanying prospectus supplement, and prepare a summary report to the CSRC after the completion of all offerings under this prospectus. We intend to comply with the Trial Measures for subsequent offerings under this registration statement on Form F-3. </w:t>
      </w:r>
      <w:r>
        <w:rPr>
          <w:rFonts w:ascii="Times New Roman;Times;Serif" w:hAnsi="Times New Roman;Times;Serif"/>
          <w:b w:val="false"/>
          <w:i w:val="false"/>
          <w:caps w:val="false"/>
          <w:smallCaps w:val="false"/>
          <w:sz w:val="20"/>
          <w:shd w:fill="FFFFFF" w:val="clear"/>
        </w:rPr>
        <w:t>Other than the CSRC filing procedures we are required to make within three working days after the completion of an offering made pursuant to this prospectus or any accompanying prospectus supplement, we and our PRC subsidiaries, in the opinion of our PRC legal counsel, </w:t>
      </w:r>
      <w:r>
        <w:rPr>
          <w:rFonts w:ascii="Times New Roman;Times;Serif" w:hAnsi="Times New Roman;Times;Serif"/>
          <w:b w:val="false"/>
          <w:i w:val="false"/>
          <w:caps w:val="false"/>
          <w:smallCaps w:val="false"/>
          <w:sz w:val="20"/>
        </w:rPr>
        <w:t>Beijing Dacheng Law Offices, LLP</w:t>
      </w:r>
      <w:r>
        <w:rPr>
          <w:rFonts w:ascii="Times New Roman;Times;Serif" w:hAnsi="Times New Roman;Times;Serif"/>
          <w:b w:val="false"/>
          <w:i w:val="false"/>
          <w:caps w:val="false"/>
          <w:smallCaps w:val="false"/>
          <w:sz w:val="20"/>
          <w:shd w:fill="FFFFFF" w:val="clear"/>
        </w:rPr>
        <w:t>,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w:t>
      </w:r>
      <w:r>
        <w:rPr>
          <w:rFonts w:ascii="Times New Roman;Times;Serif" w:hAnsi="Times New Roman;Times;Serif"/>
          <w:b w:val="false"/>
          <w:i w:val="false"/>
          <w:caps w:val="false"/>
          <w:smallCaps w:val="false"/>
          <w:sz w:val="20"/>
        </w:rPr>
        <w:t>In the opinion of our PRC legal counsel, Beijing Dacheng Law Offices, LLP, the Selling Shareholders’ resale of the Ordinary Sales as described hereunder does not constitute a “subsequent offering” under the CSRC rules and hence we are not required to complete the filing procedures with CSRC for the Selling Shareholders’ resale. See “Risk Factors—Risks Related to Doing Business in China—The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2008), the anti-monopoly guidelines for various industries, and the Detailed Rules for the Implementation of the Fair Competition Review System; and (iii) expanding the anti-monopoly law enforcement targeting Internet companies and large enterprises. As of the date of this prospectus, the Chinese government’s recent statements and regulatory actions related to anti-monopoly concerns have not impacted our or our subsidiaries’ ability to conduct business, our ability to accept foreign investments or issue our securities to foreign investors because neither we nor our subsidiaries engage in monopolistic behaviors that are subject to these statements or regulatory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and our subsidiaries have received from the PRC authorities all requisite licenses, permissions, and approvals needed to engage in the businesses currently conducted in the PRC, which solely include the business licenses that authorize the scope of business operations, and no permission or approval has been denied. As of the date of this prospectus, each of our PRC subsidiaries has obtained its business license to engage in the respective business currently being conducted by it in the PRC. For us to offer the securities being registered hereunder to foreign investors, we are required to submit filings with the CSRC within three (3) working days after completion of an offering by the Company. For details regarding this approval requirement, see the above discussion under —Permissions Required from PRC Authorities.” However, we are not required to obtain any permissions or approvals to operate our business or to offer securities being registered hereunder to foreign investors, and no permission or approval has been denied. However, we cannot assure you that we will be able to receive clearance of any compliance requirements imposed on us in a timely manner, or at all. Any failure to fully comply with such compliance requirements may cause our PRC subsidiaries to be unable to conduct their businesses or operations in the PRC, subject them to fines, business suspension, or other sanctions.  If we and/or our subsidiaries do not receive or maintain the approvals, or we inadvertently conclude that such approvals are not required, or applicable laws, regulations, or interpretations change such that we and/or our subsidiaries are required to obtain approval in the future, we may be subject to an investigation by competent regulators, fines or penalties, ordered to suspend our relevant business and rectify, and/or prohibited from engaging in the relevant business, and these risks could result in a material adverse change in our operations, significantly limit or completely hinder our ability to offer or continue to offer securities to investors, or cause such securities to significantly decline in value or become worthless. See “Risk Factors—Risks Related to Doing Business in China”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Ordinary Shares may be prohibited from trading on a national exchange or over-the-counter under the HFCA Act if the PCAOB is unable to inspect our auditors for three consecutive years beginning in 2021. Our auditor, YCM CPA INC., </w:t>
      </w:r>
      <w:r>
        <w:rPr>
          <w:rFonts w:ascii="Times New Roman;Times;Serif" w:hAnsi="Times New Roman;Times;Serif"/>
          <w:b w:val="false"/>
          <w:i w:val="false"/>
          <w:caps w:val="false"/>
          <w:smallCaps w:val="false"/>
          <w:sz w:val="20"/>
          <w:shd w:fill="FFFFFF" w:val="clear"/>
        </w:rPr>
        <w:t>headquartered in Irvine, California,</w:t>
      </w:r>
      <w:r>
        <w:rPr>
          <w:rFonts w:ascii="Times New Roman;Times;Serif" w:hAnsi="Times New Roman;Times;Serif"/>
          <w:b w:val="false"/>
          <w:i w:val="false"/>
          <w:caps w:val="false"/>
          <w:smallCaps w:val="false"/>
          <w:sz w:val="20"/>
        </w:rPr>
        <w:t> has been inspected by the PCAOB on a regular basis and it is not subject to the determinations announced by the PCAOB on December 16, 2021. If trading in our Ordinary Shares is prohibited under the HFCA Act in the future because the PCAOB determines that it cannot inspect or fully investigate our auditor at such future time, Nasdaq may determine to delist or prohibit the trading of our Ordinary Shares. On June 22, 2021, the U.S. Senate passed the Accelerating Holding Foreign Companies Accountable Act, and on December 29, 2022, legislation entitled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the Ordinary Shares is prohibited under the HFCA Act in the future because the PCAOB determines that it cannot inspect or fully investigate our auditor at such future time, Nasdaq may determine to delist our Ordinary Shares and trading in our Ordinary Shares could be prohibited. See “Risk Factors—Risks Related to Doing Business in China—The recent joint statement by the SEC and the PCAOB, rule changes by Nasdaq, and the Holding Foreign Companies Accountable Act and related regulations,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 cash management policy in place that dictate how funds are transferred between us and our subsidiaries, or investors. We are a holding company, and we may rely on dividends and other distributions on equity paid by our PRC subsidiaries for our cash and financing requirements, including the furnishing of funds necessary to pay dividends and other cash distributions to our shareholders or to service any debt we may incur. If any of our PRC subsidiaries incurs debt on its own behalf in the future, the instruments governing such debt may restrict their ability to pay dividends to us. There have not been any such dividends or other distributions from our PRC subsidiaries to our subsidiaries located outside of China, as of the date of this prospectus. In addition, as of the date of this prospectus, none of our subsidiaries have ever issued any dividends or distributions to us or their respective shareholders outside of China, and neither we nor any of our subsidiaries have ever paid dividends or made distributions to U.S. investors. As of the date of this prospectus, neither we nor any of our subsidiaries have ever paid dividends or made distributions to U.S. investors. Other than the following transactions, no cash transfers have occurred among us and our subsidiaries: (i) our Hong Kong subsidiary, Baosheng Hong Kong, received cash of $38.3 million from us, which represented proceeds raised in the initial public offering of our Ordinary Shares in February 2021, and the private placement of our Ordinary Shares and warrants in March 2021, (ii) on March 16, 2021, Baosheng Hong Kong transferred cash of $6 million, in the form of shareholder loans, to its wholly owned subsidiary, Beijing Baosheng, and (iii) in April 2021 and August 2021, Baosheng Hong Kong transferred cash in the aggregate of $30.79 million, in the form of capital contributions, to its wholly owned subsidiary, Baosheng Network. In the future, cash proceeds raised from overseas financing activities may be transferred by us to our PRC subsidiaries by means of capital contributions or shareholder loans, as the case may be. Notwithstanding the recent judgment against Beijing Baosheng, described more particularly under “Item 4. Information on the Company—B. Business Overview—Legal Proceedings” in our annual report on Form 20-F for the fiscal year ended December 31, 2022, we do not expect that the court’s ruling will impact the cash transferring through the organization. See “Item 18. Financial Statements” starting on page F-1 in our annual report on Form 20-F for the year ended December 31, 2022,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 See “Risk Factors—Risks Related to Doing Business in China—We may rely on dividends paid by our subsidiaries for our cash needs, and any limitation on the ability of our subsidiaries to make payments to us could have a material adverse effect on our ability to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result, any restriction on currency exchange may limit the ability of our PRC operating subsidiaries to use their potential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“Risk Factors—Risks Related to Doing Business in China—We may rely on dividends paid by our subsidiaries for our cash needs, and any limitation on the ability of our subsidiaries to make payments to us could have a material adverse effect on our ability to conduct business” for a detailed discussion of the Chinese legal restrictions on the payment of dividends and our ability to transfer cash within our group. In addition, holders of our Ordinary Shares may potentially be subject to Chinese taxes on dividends paid by us in the event we are deemed a Chinese resident enterprise for Chinese tax purposes. See “Risk Factors—Risks Related to Doing Business in China—You may be subject to PRC income tax on dividends from us or on any gain realized on the transfer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See “Risk Factors—Risks Related to Doing Business in China—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on page 34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Through the operating entities, we are an online marketing solution provider based in China. The operating entities are dedicated to helping their advertiser clients manage online marketing activities with a view to achieving the clients’ business goals. The operating entities advise advertisers on online marketing strategies, offer value-added advertising optimization services and facilitate the deployment of online ads of various forms such as search ads, in-feed ads, mobile app ads and social media marketing ads. At the same time, as the authorized agency of some popular online media, such as sm.cn (</w:t>
      </w:r>
      <w:r>
        <w:rPr>
          <w:rFonts w:eastAsia="Times New Roman;Times;Serif"/>
          <w:b w:val="false"/>
          <w:i w:val="false"/>
          <w:caps w:val="false"/>
          <w:smallCaps w:val="false"/>
          <w:sz w:val="20"/>
        </w:rPr>
        <w:t>神马</w:t>
      </w:r>
      <w:r>
        <w:rPr>
          <w:rFonts w:ascii="Times New Roman;Times;Serif" w:hAnsi="Times New Roman;Times;Serif"/>
          <w:b w:val="false"/>
          <w:i w:val="false"/>
          <w:caps w:val="false"/>
          <w:smallCaps w:val="false"/>
          <w:sz w:val="20"/>
        </w:rPr>
        <w:t>), UC browsers (UC</w:t>
      </w:r>
      <w:r>
        <w:rPr>
          <w:rFonts w:eastAsia="Times New Roman;Times;Serif"/>
          <w:b w:val="false"/>
          <w:i w:val="false"/>
          <w:caps w:val="false"/>
          <w:smallCaps w:val="false"/>
          <w:sz w:val="20"/>
        </w:rPr>
        <w:t>浏览器</w:t>
      </w:r>
      <w:r>
        <w:rPr>
          <w:rFonts w:ascii="Times New Roman;Times;Serif" w:hAnsi="Times New Roman;Times;Serif"/>
          <w:b w:val="false"/>
          <w:i w:val="false"/>
          <w:caps w:val="false"/>
          <w:smallCaps w:val="false"/>
          <w:sz w:val="20"/>
        </w:rPr>
        <w:t>), and Today’s Headline (</w:t>
      </w:r>
      <w:r>
        <w:rPr>
          <w:rFonts w:eastAsia="Times New Roman;Times;Serif"/>
          <w:b w:val="false"/>
          <w:i w:val="false"/>
          <w:caps w:val="false"/>
          <w:smallCaps w:val="false"/>
          <w:sz w:val="20"/>
        </w:rPr>
        <w:t>今日头条</w:t>
      </w:r>
      <w:r>
        <w:rPr>
          <w:rFonts w:ascii="Times New Roman;Times;Serif" w:hAnsi="Times New Roman;Times;Serif"/>
          <w:b w:val="false"/>
          <w:i w:val="false"/>
          <w:caps w:val="false"/>
          <w:smallCaps w:val="false"/>
          <w:sz w:val="20"/>
        </w:rPr>
        <w:t>), the operating entities help online media procure advertisers to buy their ad inventory and facilitate ad deployment on their advertising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Relying on our management’s extensive industry experience, deep industry insights and well-established network of media resources and through the operating entities, we have grown rapidly from a start-up online marketing agency founded in 2014 to a multi-channel online marketing solution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help advertisers formulate online advertising strategies, optimize ads and run ads on suitable online advertising channels with a view to achieving the clients’ business goals. The operating entities have built a broad and diverse advertiser base across various industries, including ecommerce and online service platforms, online travel agencies, financial services, online gaming, car services and other advertising agencies. We believe the operating entities’ ability to attract and retain these advertisers reflects the high level of their services, which is essential to our business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Business value chain.</w:t>
      </w:r>
      <w:r>
        <w:rPr>
          <w:rFonts w:ascii="Times New Roman;Times;Serif" w:hAnsi="Times New Roman;Times;Serif"/>
          <w:b w:val="false"/>
          <w:i w:val="false"/>
          <w:caps w:val="false"/>
          <w:smallCaps w:val="false"/>
          <w:sz w:val="20"/>
        </w:rPr>
        <w:t> As an online advertising service provider, we regard our business values as revolving around the operating entities’ ability to serve the needs of two major business stakeholders: (i) advertisers; and (ii) media (or their authorized agencies).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b/>
                <w:sz w:val="20"/>
              </w:rPr>
              <w:t>Value to advertisers</w:t>
            </w:r>
            <w:r>
              <w:rPr/>
              <w:t>: As an online marketing service provider, through the operating entities, we connect advertisers and online media, helping advertisers to manage their online marketing activities in many ways, including, but not limited to, (i) advising on advertising strategies, budget and choice of advertising channels; (ii) procuring ad inventory; (iii) offering ad optimization services; and (iv) administrating and fine-tuning the ad placement process.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b/>
                <w:sz w:val="20"/>
              </w:rPr>
              <w:t>Value to media</w:t>
            </w:r>
            <w:r>
              <w:rPr/>
              <w:t>: As an authorized agency of media, through the operating entities, we create value to media businesses in several ways, including, but not limited to, (i) identifying advertisers to buy their ad inventory, (ii) facilitating payment arrangements with advertisers, (iii) assisting advertisers in handling ad deployment logistics with media, and (iv) engaging in other marketing and promotion activities aimed at educating and inducing advertisers to use online advertising.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Advertising services</w:t>
      </w:r>
      <w:r>
        <w:rPr>
          <w:rFonts w:ascii="Times New Roman;Times;Serif" w:hAnsi="Times New Roman;Times;Serif"/>
          <w:b w:val="false"/>
          <w:i w:val="false"/>
          <w:caps w:val="false"/>
          <w:smallCaps w:val="false"/>
          <w:sz w:val="20"/>
        </w:rPr>
        <w:t>. Through the operating entities, we offer two types of advertising services, SEM services, and Non-SEM services. SEM services include the deployment of ranked search ads and other display search ads offered by search engine operators. Non-SEM services, on the other hand, include social media marketing, in-feed advertising, and mobile app advertising through deploying ads on media such as social media platforms, short-video platforms, news portals and mobile apps. The display forms of Non-SEM ads include in-feed ads, banner ads, button ads, interstitial ads, and posts on selected social media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relevant ad formats, the corresponding pricing models generally adopted by media and our revenue model: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0"/>
        <w:gridCol w:w="60"/>
        <w:gridCol w:w="5747"/>
        <w:gridCol w:w="60"/>
        <w:gridCol w:w="2007"/>
        <w:gridCol w:w="60"/>
        <w:gridCol w:w="1401"/>
      </w:tblGrid>
      <w:tr>
        <w:trPr/>
        <w:tc>
          <w:tcPr>
            <w:tcW w:w="8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Type</w:t>
            </w:r>
          </w:p>
        </w:tc>
        <w:tc>
          <w:tcPr>
            <w:tcW w:w="60" w:type="dxa"/>
            <w:tcBorders/>
            <w:tcMar>
              <w:bottom w:w="0" w:type="dxa"/>
            </w:tcMar>
            <w:vAlign w:val="center"/>
          </w:tcPr>
          <w:p>
            <w:pPr>
              <w:pStyle w:val="TableContents"/>
              <w:bidi w:val="0"/>
              <w:spacing w:before="0" w:after="283"/>
              <w:jc w:val="center"/>
              <w:rPr/>
            </w:pPr>
            <w:r>
              <w:rPr/>
              <w:t> </w:t>
            </w:r>
          </w:p>
        </w:tc>
        <w:tc>
          <w:tcPr>
            <w:tcW w:w="574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center"/>
              <w:rPr/>
            </w:pPr>
            <w:r>
              <w:rPr/>
              <w:t> </w:t>
            </w:r>
          </w:p>
        </w:tc>
        <w:tc>
          <w:tcPr>
            <w:tcW w:w="200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Media’s principal pricing</w:t>
              <w:br/>
              <w:t>model</w:t>
            </w:r>
          </w:p>
        </w:tc>
        <w:tc>
          <w:tcPr>
            <w:tcW w:w="60" w:type="dxa"/>
            <w:tcBorders/>
            <w:tcMar>
              <w:bottom w:w="0" w:type="dxa"/>
            </w:tcMar>
            <w:vAlign w:val="center"/>
          </w:tcPr>
          <w:p>
            <w:pPr>
              <w:pStyle w:val="TableContents"/>
              <w:bidi w:val="0"/>
              <w:spacing w:before="0" w:after="283"/>
              <w:jc w:val="center"/>
              <w:rPr/>
            </w:pPr>
            <w:r>
              <w:rPr/>
              <w:t> </w:t>
            </w:r>
          </w:p>
        </w:tc>
        <w:tc>
          <w:tcPr>
            <w:tcW w:w="140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Our principal revenue</w:t>
              <w:br/>
              <w:t>model</w:t>
            </w:r>
          </w:p>
        </w:tc>
      </w:tr>
      <w:tr>
        <w:trPr/>
        <w:tc>
          <w:tcPr>
            <w:tcW w:w="10205" w:type="dxa"/>
            <w:gridSpan w:val="7"/>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SEM Services</w:t>
            </w:r>
          </w:p>
        </w:tc>
      </w:tr>
      <w:tr>
        <w:trPr/>
        <w:tc>
          <w:tcPr>
            <w:tcW w:w="8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Search ads</w:t>
            </w:r>
          </w:p>
        </w:tc>
        <w:tc>
          <w:tcPr>
            <w:tcW w:w="60" w:type="dxa"/>
            <w:tcBorders/>
            <w:tcMar>
              <w:bottom w:w="0" w:type="dxa"/>
            </w:tcMar>
            <w:vAlign w:val="center"/>
          </w:tcPr>
          <w:p>
            <w:pPr>
              <w:pStyle w:val="TableContents"/>
              <w:bidi w:val="0"/>
              <w:spacing w:before="0" w:after="283"/>
              <w:jc w:val="left"/>
              <w:rPr/>
            </w:pPr>
            <w:r>
              <w:rPr/>
              <w:t> </w:t>
            </w:r>
          </w:p>
        </w:tc>
        <w:tc>
          <w:tcPr>
            <w:tcW w:w="574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Search ads are normally located at the top, or on the side of the search results page, or the related products of the search engine operators.</w:t>
            </w:r>
          </w:p>
        </w:tc>
        <w:tc>
          <w:tcPr>
            <w:tcW w:w="60" w:type="dxa"/>
            <w:tcBorders/>
            <w:tcMar>
              <w:bottom w:w="0" w:type="dxa"/>
            </w:tcMar>
            <w:vAlign w:val="center"/>
          </w:tcPr>
          <w:p>
            <w:pPr>
              <w:pStyle w:val="TableContents"/>
              <w:bidi w:val="0"/>
              <w:spacing w:before="0" w:after="283"/>
              <w:jc w:val="left"/>
              <w:rPr/>
            </w:pPr>
            <w:r>
              <w:rPr/>
              <w:t> </w:t>
            </w:r>
          </w:p>
        </w:tc>
        <w:tc>
          <w:tcPr>
            <w:tcW w:w="200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Auction-based ads</w:t>
            </w:r>
            <w:r>
              <w:rPr>
                <w:rFonts w:ascii="Times New Roman;Times;Serif" w:hAnsi="Times New Roman;Times;Serif"/>
                <w:b w:val="false"/>
                <w:i w:val="false"/>
                <w:caps w:val="false"/>
                <w:smallCaps w:val="false"/>
                <w:sz w:val="20"/>
              </w:rPr>
              <w:t>: mainly CPC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Non-auction-based ads</w:t>
            </w:r>
            <w:r>
              <w:rPr>
                <w:rFonts w:ascii="Times New Roman;Times;Serif" w:hAnsi="Times New Roman;Times;Serif"/>
                <w:b w:val="false"/>
                <w:i w:val="false"/>
                <w:caps w:val="false"/>
                <w:smallCaps w:val="false"/>
                <w:sz w:val="20"/>
              </w:rPr>
              <w:t>: mainly CPT </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Rebates and incentives</w:t>
            </w:r>
          </w:p>
        </w:tc>
      </w:tr>
      <w:tr>
        <w:trPr/>
        <w:tc>
          <w:tcPr>
            <w:tcW w:w="10205" w:type="dxa"/>
            <w:gridSpan w:val="7"/>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Non-SEM services</w:t>
            </w:r>
          </w:p>
        </w:tc>
      </w:tr>
      <w:tr>
        <w:trPr/>
        <w:tc>
          <w:tcPr>
            <w:tcW w:w="8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In-feed ads</w:t>
            </w:r>
          </w:p>
        </w:tc>
        <w:tc>
          <w:tcPr>
            <w:tcW w:w="60" w:type="dxa"/>
            <w:tcBorders/>
            <w:tcMar>
              <w:bottom w:w="0" w:type="dxa"/>
            </w:tcMar>
            <w:vAlign w:val="center"/>
          </w:tcPr>
          <w:p>
            <w:pPr>
              <w:pStyle w:val="TableContents"/>
              <w:bidi w:val="0"/>
              <w:spacing w:before="0" w:after="283"/>
              <w:jc w:val="left"/>
              <w:rPr/>
            </w:pPr>
            <w:r>
              <w:rPr/>
              <w:t> </w:t>
            </w:r>
          </w:p>
        </w:tc>
        <w:tc>
          <w:tcPr>
            <w:tcW w:w="574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In-feed ads are advertisements that match the format, appearance and function of the platform upon which they appear, typically placed on short video sharing, social media and newsfeed platforms.</w:t>
            </w:r>
          </w:p>
        </w:tc>
        <w:tc>
          <w:tcPr>
            <w:tcW w:w="60" w:type="dxa"/>
            <w:tcBorders/>
            <w:tcMar>
              <w:bottom w:w="0" w:type="dxa"/>
            </w:tcMar>
            <w:vAlign w:val="center"/>
          </w:tcPr>
          <w:p>
            <w:pPr>
              <w:pStyle w:val="TableContents"/>
              <w:bidi w:val="0"/>
              <w:spacing w:before="0" w:after="283"/>
              <w:jc w:val="left"/>
              <w:rPr/>
            </w:pPr>
            <w:r>
              <w:rPr/>
              <w:t> </w:t>
            </w:r>
          </w:p>
        </w:tc>
        <w:tc>
          <w:tcPr>
            <w:tcW w:w="200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CPM, CPC</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Rebates and incentives</w:t>
            </w:r>
          </w:p>
        </w:tc>
      </w:tr>
      <w:tr>
        <w:trPr/>
        <w:tc>
          <w:tcPr>
            <w:tcW w:w="8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Mobile app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Mobile app ads are displayed in apps with various formats such as banner ads, button ads, open screen ads, and interstitial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 CPA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fees; rebates and incentives</w:t>
            </w:r>
          </w:p>
        </w:tc>
      </w:tr>
      <w:tr>
        <w:trPr/>
        <w:tc>
          <w:tcPr>
            <w:tcW w:w="8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Social media ads</w:t>
            </w:r>
          </w:p>
        </w:tc>
        <w:tc>
          <w:tcPr>
            <w:tcW w:w="60" w:type="dxa"/>
            <w:tcBorders/>
            <w:tcMar>
              <w:bottom w:w="0" w:type="dxa"/>
            </w:tcMar>
            <w:vAlign w:val="center"/>
          </w:tcPr>
          <w:p>
            <w:pPr>
              <w:pStyle w:val="TableContents"/>
              <w:bidi w:val="0"/>
              <w:spacing w:before="0" w:after="283"/>
              <w:jc w:val="left"/>
              <w:rPr/>
            </w:pPr>
            <w:r>
              <w:rPr/>
              <w:t> </w:t>
            </w:r>
          </w:p>
        </w:tc>
        <w:tc>
          <w:tcPr>
            <w:tcW w:w="574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media ads take the form of contents appearing in the designated blogs or social media accounts with suitable target audience.</w:t>
            </w:r>
          </w:p>
        </w:tc>
        <w:tc>
          <w:tcPr>
            <w:tcW w:w="60" w:type="dxa"/>
            <w:tcBorders/>
            <w:tcMar>
              <w:bottom w:w="0" w:type="dxa"/>
            </w:tcMar>
            <w:vAlign w:val="center"/>
          </w:tcPr>
          <w:p>
            <w:pPr>
              <w:pStyle w:val="TableContents"/>
              <w:bidi w:val="0"/>
              <w:spacing w:before="0" w:after="283"/>
              <w:jc w:val="left"/>
              <w:rPr/>
            </w:pPr>
            <w:r>
              <w:rPr/>
              <w:t> </w:t>
            </w:r>
          </w:p>
        </w:tc>
        <w:tc>
          <w:tcPr>
            <w:tcW w:w="200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w:t>
            </w:r>
          </w:p>
        </w:tc>
        <w:tc>
          <w:tcPr>
            <w:tcW w:w="60" w:type="dxa"/>
            <w:tcBorders/>
            <w:tcMar>
              <w:bottom w:w="0" w:type="dxa"/>
            </w:tcMar>
            <w:vAlign w:val="center"/>
          </w:tcPr>
          <w:p>
            <w:pPr>
              <w:pStyle w:val="TableContents"/>
              <w:bidi w:val="0"/>
              <w:spacing w:before="0" w:after="283"/>
              <w:jc w:val="left"/>
              <w:rPr/>
            </w:pPr>
            <w:r>
              <w:rPr/>
              <w:t> </w:t>
            </w:r>
          </w:p>
        </w:tc>
        <w:tc>
          <w:tcPr>
            <w:tcW w:w="14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experienced substantial growth from our inception to December 31, 2020, before we experienced negative growth since 2021. Our gross billing decreased from $134.9 million in 2020 to $54.7 million in 2021, representing a decrease of 59.4%, and decreased to $54.6 million in 2022, representing a decrease of 0.3%. In the meantime, the media costs decreased from $123.0 million in 2020 to $50.8 million in 2021, while increased to $52.2 million in 2022, representing a decrease of 58.7% and an increase of 2.7%, respectively. Our revenue on a net basis (i.e. difference between gross billing and media costs) has decreased, in tandem with advertiser base and their advertising spend, from $11.9 million in 2020 to $3.9 million in 2021, and decreased further to $2.4 million in 2022, representing a decrease of 67.2% and a decrease of 38.3%, respectively. Please see the financial statements and related notes and other information that we incorporate by reference herein, including, but not limited to, our annual report on Form 20-F for the fiscal year ended December 31, 2022 and our other SEC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Ordinary Shares involves significant risks. You should carefully consider all of the information in this prospectus before making an investment in our Ordinary Shares. Below please find a summary of the principal risks we face, organized under relevant headings. These risks are discussed more fully under “Item 3. Key Information—D. Risk Factors” in our annual report on Form 20-F for the fiscal year ended December 31, 2022 and in the “Risk Factors” section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Business and Industry (for a more detailed discussion, see “Item 3. Key Information—D. Risk Factors—Risks Related to Our Business and Industry” in our annual report on Form 20-F for the fiscal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business and industry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Cutbacks on advertising budgets by advertisers, changes in rebate and incentive policies by the media, failure to maintain and grow our advertiser base and secure emerging media resources could all materially and adversely affect our business and financial condition. See page 10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maintain our relationships with our business stakeholders, mainly advertisers and media, our business, results of operations, financial condition and business prospects could be materially and adversely affected. See page 11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appropriately evaluate the credit profile of our advertisers or effectively manage our credit risk associated with credit terms granted to our advertisers and/or delay in settlement of accounts receivable from our advertisers could materially and adversely impact our operating cash flow and may result in significant provisions and impairments on our accounts receivable which in turn would have a material adverse impact on our business operations, results of operation, financial condition and our business pursuits and prospects. See page 13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we continue to strive for business growth, we may continue to experience net cash outflow from operating activities, and we cannot assure you that we can maintain sufficient net cash inflows from operating activities. See page 13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limited operating history in a rapidly evolving industry makes it difficult to accurately forecast our future operating results and evaluate our business prospects. See page 14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customers contributed to a significant percentage of our total revenue during the fiscal years 2022, 2021, and 2020, and losing one or more of them could result in a material adverse impact on our financial performance and business prospects. See page 14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in the highly competitive online advertising service industry and we may not be able to compete successfully against existing or new competitors, which could reduce our market share and adversely affect our competitive position and financial performance. See page 15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improve our services to keep up with the rapidly changing demands, preferences, advertising trends or technologies in the online advertising industry, our revenues and growth could be adversely affected. See page 16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Limitations on the availability of data and our ability to analyze such data could significantly restrict our optimization capability and cause us to lose advertisers, which may harm our business and results of operations. See page 16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environment of the online advertising industry is rapidly evolving. If we fail to obtain and maintain the requisite licenses and approvals as applicable to our businesses in China from time to time, our business, financial condition and results of operations may be materially and adversely affected. See page 17 of our annual report on Form 20-F for the fiscal year ended December 31, 2022;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ongoing effects of COVID-19 in China may have a material adverse effect on our business. See page 23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 (for a more detailed discussion, see “Item 3. Key Information—D. Risk Factors—Risks Related to Doing Business in China” in our annual report on Form 20-F for the fiscal year ended December 31, 2022 and the section titled “Risk Factors”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and uncertainties related to doing business in the PRC in general,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changes in political and economic policies of the PRC government could have a material adverse effect on the overall economic growth of the PRC, which could reduce the demand for our products and materially and adversely affect our competitive position. See “Risk Factors—Risks Related to Doing Business in China—Adverse changes in political and economic policies of the PRC government could have a material adverse effect on the overall economic growth of the PRC, which could reduce the demand for our products and materially and adversely affect our competitive position” on page 25 of this prospectus and page 23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regarding interpretation and enforcement of the laws, rules and regulations in China may impose adverse impact on our business, operations and profitability. See “Risk Factors—Risks Related to Doing Business in China—Uncertainties regarding interpretation and enforcement of the laws, rules and regulations in China may impose adverse impact on our business, operations and profitability” on page 25 of this prospectus and page 23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adversely affected by the complexity, uncertainties and changes in the regulation of internet-related businesses and companies in China. See “Risk Factors—Risks Related to Doing Business in China—We may be adversely affected by the complexity, uncertainties and changes in the regulation of internet-related businesses and companies in China” on page 26 of this prospectus and page 24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Regulation and censorship of information disseminated through the Internet in China may adversely affect our business in China, and we may be liable for content disseminated by us through the Internet. See “Risk Factors—Risks Related to Doing Business in China—Regulation and censorship of information disseminated through the Internet in China may adversely affect our business in China, and we may be liable for content disseminated by us through the Internet” on page 27 of this prospectus and page 25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policies, regulations, rules, and the enforcement of laws of the PRC government may be quick with little advance notice and could have a significant impact upon our ability to operate profitably in the PRC. See “Risk Factors—Risks Related to Doing Business in China—Changes in the policies, regulations, rules, and the enforcement of laws of the PRC government may be quick with little advance notice and could have a significant impact upon our ability to operate profitably in the PRC” on page 27 of this prospectus and page 25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 See “Risk Factors—Risks Related to Doing Business in China—The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 on pages 27 through 29 of this prospectus and page 25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Recent greater oversight by the Cyberspace Administration of China, or the CAC, over data security, particularly for companies seeking to list on a foreign exchange, could adversely impact our business and our offering. See “Risk Factors—Risks Related to Doing Business in China—Recent greater oversight by the CAC over data security, particularly for companies seeking to list on a foreign exchange, could adversely impact our business and our offering” on pages 29 and 30 of this prospectus and page 27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 See “Risk Factors—Risks Related to Doing Business in China—The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 on page 30 of this prospectus and page 28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Labor Contract Law and other labor-related laws in the PRC may adversely affect our business and our results of operations. See “Risk Factors—Risks Related to Doing Business in China—Labor Contract Law and other labor-related laws in the PRC may adversely affect our business and our results of operations” on page 31 of this prospectus and page 28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obtain or maintain any preferential tax treatments, or the discontinuation, reduction or delay of any preferential tax treatments available to us in China could adversely affect our results of operations and financial condition. See “Risk Factors—Risks Related to Doing Business in China—Failure to obtain or maintain any preferential tax treatments, or the discontinuation, reduction or delay of any preferential tax treatments available to us in China could adversely affect our results of operations and financial condition” on pages 31 and 32 of this prospectus and page 29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Enterprise Income Tax Law, we may be classified as a “Resident Enterprise” of China. Such classification will likely result in unfavorable tax consequences to us and our non-PRC shareholders. See “Risk Factors—Risks Related to Doing Business in China—Under the Enterprise Income Tax Law, we may be classified as a ‘Resident Enterprise’ of China. Such classification will likely result in unfavorable tax consequences to us and our non-PRC shareholders” on pages 32 and 33 of this prospectus and page 30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regulation of loans to PRC entities by offshore holding companies and governmental control of currency conversion may delay or prevent us from using proceeds from our future financing activities to make loans to our PRC operating subsidiaries, which might adversely affect our liquidity and our ability to fund and expand our business. See “Risk Factors—Risks Related to Doing Business in China—PRC regulation of loans to PRC entities by offshore holding companies and governmental control of currency conversion may delay or prevent us from using proceeds from our future financing activities to make loans to our PRC operating subsidiaries, which might adversely affect our liquidity and our ability to fund and expand our business” on pages 33 and 34 of this prospectus and page 31 of our annual report on Form 20-F for the fiscal year ended December 31, 2022;</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See “Risk Factors—Risks Related to Doing Business in China—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on page 34 of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rely on dividends paid by our subsidiaries for our cash needs, and any limitation on the ability of our subsidiaries to make payments to us could have a material adverse effect on our ability to conduct business. See “Risk Factors—Risks Related to Doing Business in China—We may rely on dividends paid by our subsidiaries for our cash needs, and any limitation on the ability of our subsidiaries to make payments to us could have a material adverse effect on our ability to conduct business” on pages 34 and 35 of this prospectus and page 31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comply with PRC regulations relating to the establishment of offshore special purpose companies by PRC residents may subject our PRC resident Shareholders to personal liability, may limit our ability to acquire PRC companies or to inject capital into our PRC subsidiaries, may limit the ability of our PRC subsidiaries to distribute profits to us or may otherwise materially and adversely affect us. See “Risk Factors—Risks Related to Doing Business in China—Failure to comply with PRC regulations relating to the establishment of offshore special purpose companies by PRC residents may subject our PRC resident Shareholders to personal liability, may limit our ability to acquire PRC companies or to inject capital into our PRC subsidiaries, may limit the ability of our PRC subsidiaries to distribute profits to us or may otherwise materially and adversely affect us” on pages 35 and 36 of this prospectus and page 32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be subject to PRC income tax on dividends from us or on any gain realized on the transfer of our Ordinary Shares. See “Risk Factors—Risks Related to Doing Business in China—You may be subject to PRC income tax on dividends from us or on any gain realized on the transfer of our Ordinary Shares” on page 36 of this prospectus and page 33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complete a business combination transaction efficiently or on favorable terms due to complicated merger and acquisition regulations and certain other PRC regulations. See “Risk Factors—Risks Related to Doing Business in China—We may be unable to complete a business combination transaction efficiently or on favorable terms due to complicated merger and acquisition regulations and certain other PRC regulations” on pages 36 and 37 of this prospectus and page 33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uncertainties with respect to indirect transfers of equity interests in PRC resident enterprises by their non-PRC holding companies. See “Risk Factors—Risks Related to Doing Business in China—We face uncertainties with respect to indirect transfers of equity interests in PRC resident enterprises by their non-PRC holding companies” on pages 37 and 38 of this prospectus and page 34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have difficulty effecting service of legal process, enforcing judgments or bringing actions against us and our management. See “Risk Factors—Risks Related to Doing Business in China—You may have difficulty effecting service of legal process, enforcing judgments or bringing actions against us and our management” on page 38 of this prospectus and page 35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regulatory bodies may be limited in their ability to conduct investigations or inspections of our operations in China. See “Risk Factors—Risks Related to Doing Business in China—U.S. regulatory bodies may be limited in their ability to conduct investigations or inspections of our operations in China” on page 39 of this prospectus and page 35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recent joint statement by the SEC and the PCAOB, rule changes by Nasdaq, and the Holding Foreign Companies Accountable Act and related regulations,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See “Risk Factors—Risks Related to Doing Business in China—The recent joint statement by the SEC and the PCAOB, rule changes by Nasdaq, and the Holding Foreign Companies Accountable Act and related regulations,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on pages 39 and 40 of this prospectus and page 36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exposed to liabilities under the Foreign Corrupt Practices Act and Chinese anti-corruption law. See “Risk Factors—Risks Related to Doing Business in China—We may be exposed to liabilities under the Foreign Corrupt Practices Act and Chinese anti-corruption law” on page 41 of this prospectus and page 37 of our annual report on Form 20-F for the fiscal year ended December 31, 2022;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our business is conducted in RMB and the price of our Ordinary Shares is quoted in the U.S. dollar, changes in the exchange rate between RMB and the U.S. dollar may affect the value of your investments. See “Risk Factors—Risks Related to Doing Business in China—Because our business is conducted in RMB and the price of our Ordinary Shares is quoted in the U.S. dollar, changes in the exchange rate between RMB and the U.S. dollar may affect the value of your investments” on page 41 of this prospectus and page 37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Ordinary Shares (for a more detailed discussion, see “Item 3. Key Information—D. Risk Factors—Risks Related to Our Ordinary Shares” in our annual report on Form 20-F for the fiscal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general risks and uncertainties related to our Ordinary Shares and the trading market,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share price has recently declined substantially, and our Ordinary Shares could be delisted from the Nasdaq or trading could be suspended. See page 38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cannot assure you that we will declare and distribute any dividends in the future. See page 39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as long as we are an emerging growth company, we will not be required to comply with certain reporting requirements, including those relating to accounting standards and disclosure about our executive compensation, that apply to other public companies. See page 39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establish and maintain proper internal financial reporting controls, our ability to produce accurate financial statements or comply with applicable regulations could be impaired. See page 40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foreign private issuer, we are not subject to certain U.S. securities law disclosure requirements that apply to a domestic U.S. issuer, which may limit the information publicly available to our shareholders. See page 40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foreign private issuer,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corporate governance listing standards. See page 41 of our annual report on Form 20-F for the fiscal year ended December 31, 2022;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cannot satisfy, or continue to satisfy, the continued listing requirements and other rules of the Nasdaq Capital Market, our securities may be delisted, which could negatively impact the price of our securities and your ability to sell them. See page 42 of our annual report on Form 20-F for the fiscal year ended December 31,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exempt from certain provisions applicable to United States domestic public companies.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as many Exchange Act reports, or as frequently, as a domestic public company;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interim reporting, we are permitted to comply solely with our home country requirements, which are less rigorous than the rules that apply to domestic public companies;</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the same level of disclosure on certain issues, such as executive compensation;</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exempt from provisions of Regulation FD aimed at preventing issuers from making selective disclosures of material information;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comply with the sections of the Exchange Act regulating the solicitation of proxies, consents or authorizations in respect of a security registered under the Exchange Act; and</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comply with Section 16 of the Exchange Act requiring insiders to file public reports of their share ownership and trading activities and establishing insider liability for profits realized from any “short-swing” trading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revenue for the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the last day of our fiscal year during which we have total annual gross revenues of at least US$1.235 billion; (ii) the last day of our fiscal year following the fifth anniversary of the completion of our initial public offering; (iii) the date on which we have, during the previous three year period, issued more than US$1.0 billion in non-convertible debt; or (iv) the date on which we are deemed to be a “large accelerated filer” under the Exchange Act, which would occur if the market value of our Ordinary Shares that are held by non-affiliates exceeds US$700 million as of the last business day of our most recently completed second fiscal quarter and we have been publicly reporting for at least 12 months.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East Floor 5, Building No. 8, Xishanhui, Shijingshan District Beijing, People’s Republic of China. Our telephone number at this address is +86 010-82088021. Our registered office in the Cayman Islands is located at Harneys Fiduciary (Cayman) Limited, 4th Floor, Harbour Place, 103 South Church Street, P.O. Box 10240, Grand Cayman KY1-1002, Cayman Islands. We maintain a corporate website at http://ir.bsacme.com. The information contained in, or accessible from, our website or any other website does not constitute a part of this prospectus. Our agent for service of process in the United States is Puglisi &amp; Associates located at 850 Library Avenue, Suite 204, Newark, DE 19711.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i_004"/>
      <w:bookmarkEnd w:id="21"/>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making an investment decision, you should carefully consider the risks described under “Risk Factors” in the applicable prospectus supplement and under the heading “Item 3. Key Information—D. Risk Factors” in our annual report on Form 20-F for the fiscal year ended December 31, 2022, which is incorporated in this prospectus by reference, as updated by our subsequent filings under the Exchange Act, together with all of the other information appearing in this prospectus or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an offshore holding company incorporated in the Cayman Islands and we are not a Chinese operating company. As a holding company with no operations of our own, our operations are conducted in China through our wholly owned PRC subsidiary, Beijing Baosheng, and its subsidiaries. This structure involves unique risks to investors. Holders of our Ordinary Shares will not directly hold any equity interests in our operating subsidiaries. The Chinese regulatory authorities could disallow our corporate structure, which could result in a material change in our operations and the value of our Ordinary Shares could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changes in political and economic policies of the PRC government could have a material adverse effect on the overall economic growth of the PRC, which could reduce the demand for our products and materially and adversely affect our competitive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business operations are conducted in China through the operating entities. Accordingly, our business, results of operations, financial condition and prospects are subject to economic, political and legal developments in China. Although the Chinese economy is no longer a planned economy,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RMB and foreign currencies, and regulate the growth of the general or specific market. These government involvements have been instrumental in China’s significant growth in the past 40 years. If the PRC government’s current or future policies fail to help the Chinese economy achieve further growth or if any aspect of the PRC government’s policies limits the growth of our industry or otherwise negatively affects our business, our growth rate or strategy, our results of operations could be adversely affected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regarding interpretation and enforcement of the laws, rules and regulations in China may impose adverse impact on our business, operations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all of our business through the operating entities in China. Their operations in China are governed by PRC laws and regulations. Our PRC subsidiaries are generally subject to laws and regulations applicable to foreign investments in China and, in particular, laws and regulations applicable to wholly foreign-owned enterprises. The PRC legal system is based on statutes. Prior court decisions may be cited for reference but have limited precedential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1979, PRC legislation and regulations have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because these laws and regulations are relatively new, and because of the limited volume of published decisions and their nonbinding nature, the interpretation and enforcement of these laws and regulations involve uncertainties. In addition, the PRC legal system is based in part on government policies and internal rules (some of which are not published on a timely basis or at all) that may have a retroactive effect. As a result, we may not be aware of our violation of these policies and rules until sometime after the violation. In addition, any litigation in China may be protracted and result in substantial costs and diversion of resources and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regulation of loans and direct investment by offshore holding companies to PRC entities may delay or prevent us from using the proceeds of our future offerings to make loans or additional capital contributions to our PRC subsidiaries, which could materially and adversely affect our liquidity and our ability to fund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adversely affected by the complexity, uncertainties and changes in the regulation of internet-related businesses and companies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uncertainty. As a result, in certain circumstances some actions or omissions may be deemed to be violations of applicable laws and regulations. Risks and uncertainties relating to regulation in China of the internet-related business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uncertainties relating to the regulation of the internet-related business in China, including evolving licensing practices. This means that some of our permits, licenses or operations in China may be subject to challenge, or we may fail to obtain permits or licenses that may be deemed necessary for our operations or we may not be able to obtain or renew certain permits or licenses. If we fail to maintain any of these required licenses or permits, we may be subject to various penalties, including fines and discontinuation of or restriction on our operations in China. Any such disruption in our business operations in China may have a material and adverse effect on our results of operations in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laws and regulations may be promulgated in China to regulate internet activities, including digital marketing. If these new laws and regulations are promulgated, additional licenses and/or cost of compliance may be required for our operations. If our operations are not in compliance with these new laws and regulations after they become effective, or if we fail to obtain any licenses required under these new laws and regulations, we could be subject to penalties or restrictions on our operations in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PRC Counsel, Beijing Dacheng Law Offices, LLP, the operating entities are not required to obtain any other industry-specific qualification, license or permit, including an Internet Content Provider license, or ICP license, for carrying out their online advertising service business in China. Given that 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internet-related businesses in China, including the operating entities’ business in China, there is no assurance that we and the operating entities have obtained all the permits or licenses required for conducting business in China or will be able to maintain these existing licenses or obtain any new licenses required under any new laws or regulations. There is also no assurance that the PRC government will not classify the operating entities’ business as one requiring an ICP license or other licenses in the future. If new regulations in China classify the operating entities’ business as one requiring an ICP license or other licenses, the operating entities may be prevented from operating in China if they are unable to obtain the required licenses. If the change in classification of their business were to be retroactively applied, the operating entities might be subject to sanctions, including payment of taxes and fines. Any change in the PRC laws and regulations may therefore significantly disrupt the operating entities’ operations in China and materially and adversely affect our business, results of operations and financial conditions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and censorship of information disseminated through the Internet in China may adversely affect our business in China, and we may be liable for content disseminated by us through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enacted laws and regulations governing internet access and the distribution of products, services, news, information, audio-video programs and other content through the Internet. The PRC government has prohibited the dissemination of information through the Internet that it deems to be in violation of PRC laws and regulations. If any internet content disseminated by the operating entities is deemed by the PRC government to violate any content restrictions, the operating entities would not be able to continue to disseminate such content and could become subject to penalties, including confiscation of income, fines, suspension of business and revocation of licenses, which could materially and adversely affect our business, financial conditions and results of operations in China. The operating entities may also be subject to potential liability for any unlawful actions of their clients or for content they disseminate that is regarded as inappropriate.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have implemented measures to ensure that their ad content does not violate these laws and regulations. After the operating entities receive the ad content from their advertisers, it will be subject to a compliance review by the operating entities’ experienced employees. If they determine that the ad content does not violate any applicable laws and regulations, the operating entities will share such ad content with the relevant media for their internal review. If the operating entities determine that the ad content may be in violation of applicable laws or regulations, they will provide suggested edits to the ad content and send it back to the advertiser for revision. After both the operating entities and the media have determined that the ad content is in full compliance with applicable laws and regulations on information dissemination, the operating entities will confirm with the advertiser on its opinion with respect to the compliance prior to the deployment of the ad. Despite these efforts, we cannot assure you that the operating entities will be in full compliance with all applicable regulations on information dissemination. In addition, the operating entities have no control over and are not informed of the specific review standards applied by the advertisers or the media, and it may be difficult to determine the type of content that may result in liability to the operating entities. If the operating entities are found to be liable, they may be subject to penalties, fines, suspension of licenses, or revocation of licenses, which could materially and adversely affect our business, financial conditions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the policies, regulations, rules, and the enforcement of laws of the PRC government may be quick with little advance notice and could have a significant impact upon our ability to operate profitably in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conduct all operations through the operating entities in the PRC and all of our revenue is generated in the PRC. Accordingly, economic, political, and legal developments in the PRC will significantly affect our business, financial condition, results of operations, and prospects. Policies, regulations, rules, and the enforcement of laws of the PRC government can have significant effects on economic conditions in the PRC and the ability of businesses to operate profitably. The operating entities’ ability to operate profitably in the PRC may be adversely affected by changes in policies, regulations, rules, and the enforcement of laws by the PRC government, which changes may be quick with little advance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exercised and continues to exercise substantial control over virtually every sector of the Chinese economy through regulation and state ownership and may intervene with or control our operations as the government deems appropriate to further regulatory, political and societal goals. The PRC government has recently published new policies that significantly affected certain industries, such as the cryptocurrency industry and the education industry. Even though as of the date of this prospectus, we have not been affected by any newly published policies concerning our industry or our business operations that have limited or may limit our business operations to a significant degree, to the extent that the PRC government publishes any policies in the future that concern and affect the advertising industry that our subsidiaries operate in, the ability of our PRC subsidiaries to continue operating their business or serving their customers in China may be severely restricted. We cannot assure you that government authorities in China will not introduce any enhanced regulation over the industry our PRC subsidiaries operate in that may lead to our inability to operate in China at all. Additionally, the operating entities’ ability to operate in China may also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 In any of these events, our PRC subsidiaries’ ability to continue their operations may be significantly impacted, and the value of our Ordinary Shares may significantly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Furthermore, the PRC government has recently indicated an intent to exert more oversight and control over overseas securities offerings and other capital markets activities and foreign investment in China-based companies like us. Recent statements made by the Chinese government have indicated an intent to increase the government’s oversight and control over offerings of companies with significant operations in the PRC that are to be conducted in foreign markets, as well as foreign investment in China-based issuers. On February 17, 2023, the CSRC released the Trial Administrative Measures of Overseas Securities Offering and Listing by Domestic Companies (the “Trial Measures”), (</w:t>
      </w:r>
      <w:r>
        <w:rPr>
          <w:rFonts w:eastAsia="Times New Roman;Times;Serif"/>
          <w:b w:val="false"/>
          <w:i w:val="false"/>
          <w:caps w:val="false"/>
          <w:smallCaps w:val="false"/>
          <w:sz w:val="20"/>
        </w:rPr>
        <w:t>《境内企业境外发行证券和上市管理试行办法》</w:t>
      </w:r>
      <w:r>
        <w:rPr>
          <w:rFonts w:ascii="Times New Roman;Times;Serif" w:hAnsi="Times New Roman;Times;Serif"/>
          <w:b w:val="false"/>
          <w:i w:val="false"/>
          <w:caps w:val="false"/>
          <w:smallCaps w:val="false"/>
          <w:sz w:val="20"/>
        </w:rPr>
        <w:t>) and five supporting guidelines (collectively, the “Overseas Listings Rules”), which took effect on March 31, 2023. On the same date of the issuance of the Overseas Listings Rules, the CSRC circulated No.1 to No.5 Supporting Guidance Rules, the Notes on the Overseas Listings Rules, the Notice on Administration Arrangements for the Filing of Overseas Listings by Domestic Enterprises and the relevant CSRC Answers to Reporter Questions on the official website of CSRC, or collectively, the Guidance Rules and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Overseas Listing Rules aim to lay out the filing regulation arrangement for both direct and indirect overseas listing and clarify the determination criteria for indirect overseas listing in overseas markers. Where an enterprise whose principal business activities are conducted in the PRC seeks to issue and list its shares in the name of an overseas enterprise based on equity, assets, income, or other similar rights and interests of the relevant domestic enterprise in the PRC, such activities are deemed an indirect overseas issuance and listing. According to the Overseas Listings Rules, after the submission of relevant application for initial public offerings or listings in overseas markets, or after the completion of subsequent securities offerings of an issuer in the same overseas market where it has previously offered and listed, or after the submission of relevant application for subsequent securities offerings and listings of an issuer in other overseas markets than where it has offered and listed, all China-based companies shall file the required filing materials with the CSRC within three working days. In addition, overseas offerings and listings will be prohibited for such China-based companies when any of the following applies: (i) where such securities offerings and listings are explicitly prohibited by the PRC laws and regulations; (ii) where the intended securities offerings and listings may endanger national security as reviewed and determined by competent authorities under the State Council in accordance with laws; (iii) where the domestic company intending to make the securities offering and listing, or its controlling shareholders and the actual controller, have committed crimes such as corruption, bribery, embezzlement, misappropriation of property or undermining the order of the socialist market economy during the latest three years; (iv) where the domestic company intending to make the securities offering and listing is suspected of committing crimes or major violations of laws and regulations, and is under investigation according to law, and no conclusion has yet been made thereof; (v) where there are material ownership disputes over equity held by the domestic company’s controlling shareholder or by other shareholders that are controlled by the controlling shareholder and/or actual controller. The Administrative Provisions further stipulate that a fine between RMB1 million (approximately $157,255) and RMB10 million (approximately $1,572,550) may be imposed if an applicant fails to fulfill the filing requirements with the CSRC or conducts an overseas offering or listing in violation of the Overseas Listings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Overseas Listings Rules and the Guidance Rules and Notice, domestic companies conducting overseas securities offering and listing activities, either in direct or indirect form, shall complete filing procedures with the CSRC pursuant to the requirements of the Trial Measures within three working days following their submissions of initial public offerings or listing applications. The companies that have already been listed on overseas stock exchanges or have obtained the approval from overseas supervision administrations or stock exchanges for their offerings and listings and will complete their overseas offering and listing prior to September 30, 2023 are not required to make immediate filings for its listing yet but need to make filings for subsequent offerings in accordance with the Overseas Listings Rules. The companies that have already submitted an application for an initial public offering to overseas supervision administrations prior to the effective date of the Overseas Listings Rules but have not yet obtained the approval from overseas supervision administrations or stock exchanges for the offering and listing may arrange for the filing within a reasonable time period and should complete the filing procedure before such companies’ overseas issuance and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received any formal inquiry, notice, warning, sanction, or any regulatory objection from the CSRC with respect to our listing or subsequent offerings. In the opinion of our PRC legal counsel, Beijing Dacheng Law Offices, LLP, the Selling Shareholders’ resale of the Ordinary Sales as described hereunder does not constitute a “subsequent offering” under the CSRC rules and hence we are not required to complete the filing procedures with CSRC for the Selling Shareholders’ resale. However, if we decide to conduct offerings in the future, we will be required to complete filings under the Overseas Listings Rules with the CSRC. As the Overseas Listings Rules were newly published and there exists uncertainty with respect to the filing requirements and its implementation, if we are required to submit to the CRSC and complete the filing procedure of our subsequent overseas public offerings, we cannot be sure that we will be able to complete such filings in a timely manner. Any failure or perceived failure by us to comply with such filing requirements under the Overseas Listings Rules may result in forced corrections, warnings and fines against us and could materially hinder our ability to offer or continue to offer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our PRC counsel has further advised us that uncertainties still exist as to whether we or any of our subsidiaries are required to obtain permissions from the CSRC, or any other governmental agency that is required to approve our operations and/or offering. We have been closely monitoring the development in the regulatory landscape in the PRC, particularly regarding the requirement of approvals, including on a retrospective basis, from the CSRC, or other PRC authorities with respect to this offering, as well as other procedures that may be imposed on us. In the event that we, our subsidiaries, or any of its subsidiaries are subject to the compliance requirements, we cannot assure you that any of these entities will be able to receive clearance of such compliance requirements in a timely manner, or at all. Any failure of our Company or any of our subsidiaries to fully comply with new regulatory requirements may subject us to regulatory actions, such as fines, relevant businesses or operations suspension for rectification, revocation of relevant business permits or operational license, or other sanctions, which may significantly limit or completely hinder our ability to offer or continue to offer our securities, cause significant disruption to our business operations, severely damage our reputation, materially and adversely affect our financial condition and results of operations and cause our securities to significantly decline in value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greater oversight by the CAC over data security, particularly for companies seeking to list on a foreign exchange, could adversely impact our business and our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July 7, 2022, the CAC published the Measures for the Security Assessment of Outbound Data Transfer (</w:t>
      </w:r>
      <w:r>
        <w:rPr>
          <w:rFonts w:eastAsia="Times New Roman;Times;Serif"/>
          <w:b w:val="false"/>
          <w:i w:val="false"/>
          <w:caps w:val="false"/>
          <w:smallCaps w:val="false"/>
          <w:sz w:val="20"/>
        </w:rPr>
        <w:t>《数据出境安全评估办法》</w:t>
      </w:r>
      <w:r>
        <w:rPr>
          <w:rFonts w:ascii="Times New Roman;Times;Serif" w:hAnsi="Times New Roman;Times;Serif"/>
          <w:b w:val="false"/>
          <w:i w:val="false"/>
          <w:caps w:val="false"/>
          <w:smallCaps w:val="false"/>
          <w:sz w:val="20"/>
        </w:rPr>
        <w:t>), effective on September 1, 2022. The measures apply to the security assessment of important data and personal information collected and generated during operation within the territory of the People’s Republic of China and transferred abroad by a data handler. According to the Measures, if a data processor transfers data abroad under any of the following circumstances, it shall file to the State Cyberspace Administration for security assessment via the Province Cyberspace Administration: (i) a data handler who transfers important data to abroad; (ii) a critical information infrastructure operator, or a data handler processing the personal information of more than 1 million individuals transfers personal information to abroad; (iii) since January 1 of the previous year, a data handler cumulatively transferred abroad the personal information of more than 100,000 individuals, or the sensitive personal information of more than 10,000 individuals, or; (iv) other circumstances where the security assessment for the outbound data transfer is required by the State Cyberspace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December 28, 2021, the CAC and other relevant PRC governmental authorities jointly promulgated the Cybersecurity Review Measures Transfer (</w:t>
      </w:r>
      <w:r>
        <w:rPr>
          <w:rFonts w:eastAsia="Times New Roman;Times;Serif"/>
          <w:b w:val="false"/>
          <w:i w:val="false"/>
          <w:caps w:val="false"/>
          <w:smallCaps w:val="false"/>
          <w:sz w:val="20"/>
        </w:rPr>
        <w:t>《网络安全审查办法》</w:t>
      </w:r>
      <w:r>
        <w:rPr>
          <w:rFonts w:ascii="Times New Roman;Times;Serif" w:hAnsi="Times New Roman;Times;Serif"/>
          <w:b w:val="false"/>
          <w:i w:val="false"/>
          <w:caps w:val="false"/>
          <w:smallCaps w:val="false"/>
          <w:sz w:val="20"/>
        </w:rPr>
        <w:t>), which took effect on February 15, 2022. The Cybersecurity Review Measures provide that, in addition to “critical information infrastructure operators” (CIIOs) that intend to purchase Internet products and services, online platform operators engaging in data processing activities that affect or may affect national security must be subject to cybersecurity review by the Cybersecurity Review Office of the PRC. According to the Cybersecurity Review Measures, a cybersecurity review assesses potential national security risks that may be brought about by any procurement, data processing, or overseas listing. The Cybersecurity Review Measures require that an online platform operator which possesses the personal information of at least one million users must apply for a cybersecurity review by the CAC if it intends to be listed in foreign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November 14, 2021, the CAC published the Network Internet Data Protection Draft Regulations (draft for comments), (</w:t>
      </w:r>
      <w:r>
        <w:rPr>
          <w:rFonts w:eastAsia="Times New Roman;Times;Serif"/>
          <w:b w:val="false"/>
          <w:i w:val="false"/>
          <w:caps w:val="false"/>
          <w:smallCaps w:val="false"/>
          <w:sz w:val="20"/>
        </w:rPr>
        <w:t>《网络数据安全管理条例（征求意见稿）》</w:t>
      </w:r>
      <w:r>
        <w:rPr>
          <w:rFonts w:ascii="Times New Roman;Times;Serif" w:hAnsi="Times New Roman;Times;Serif"/>
          <w:b w:val="false"/>
          <w:i w:val="false"/>
          <w:caps w:val="false"/>
          <w:smallCaps w:val="false"/>
          <w:sz w:val="20"/>
        </w:rPr>
        <w:t>), and accepted public comments until December 13, 2021. The Network Internet Data Protection Draft Regulations provides that data processors refer to individuals or organizations that autonomously determine the purpose and the manner of processing data. If a data processor that processes the personal data of more than one million users intends to list overseas, it shall apply for a cybersecurity review. In addition, data processors that process important data or are listed overseas shall carry out an annual data security assessment on their own or by engaging a data security services institution, and the data security assessment report for the prior year should be submitted to the local cyberspace affairs administration department before January 31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our PRC counsel, based on our aforementioned business operation, we are not a CIIO nor an internet platform operator as mentioned above. However, it remains unclear on how the aforementioned rule will be interpreted, amended and implemented by the relevant PRC governmental authorities. If the implementation of the Cybersecurity Review Measures (2021 version), the Measures for the Security Assessment of Outbound Data Transfer, and/or the Network Internet Data Protection Draft Regulations (draft for comments) mandates clearance of cybersecurity review and other specific actions to be completed by companies like us, we will face uncertainties as to whether such clearance can be timely obtained,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do not expect that the current PRC laws on cybersecurity or data security would have a material adverse impact on the operating entities’ business operations. However, as uncertainties remain regarding the interpretation and implementation of these laws and regulations, we cannot assure you that the operating entities will comply with such regulations in all respects, and they may be ordered to rectify or terminate any actions that are deemed illegal by regulatory authorities. The operating entities may also become subject to fines and/or other sanctions and the costs of compliance with, and other burdens imposed by such laws and regulations may limit the use and adoption of their services, which may have material adverse effects on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Recently, the General Office of the Central Committee of the Communist Party of China and the General Office of the State Council jointly issued the Opinions on Severely Cracking Down on Illegal Securities Activities According to Law (</w:t>
      </w:r>
      <w:r>
        <w:rPr>
          <w:rFonts w:eastAsia="Times New Roman;Times;Serif"/>
          <w:b w:val="false"/>
          <w:i w:val="false"/>
          <w:caps w:val="false"/>
          <w:smallCaps w:val="false"/>
          <w:sz w:val="20"/>
        </w:rPr>
        <w:t>《关于依法从严打击证券违法活动的意见》</w:t>
      </w:r>
      <w:r>
        <w:rPr>
          <w:rFonts w:ascii="Times New Roman;Times;Serif" w:hAnsi="Times New Roman;Times;Serif"/>
          <w:b w:val="false"/>
          <w:i w:val="false"/>
          <w:caps w:val="false"/>
          <w:smallCaps w:val="false"/>
          <w:sz w:val="20"/>
        </w:rPr>
        <w:t>), or the Opinions, which were made available to the public on July 6, 2021. The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 aforementioned policies and any related implementation rules to be enacted may subject the operating entities to additional compliance requirements in the future that may be onerous. Official guidance and interpretation of the Opinions remain unclear in several respects at this time. Therefore, we cannot assure you that the operating entities will remain fully compliant with all new regulatory requirements of the Opinions or any future implementation rules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Labor Contract Law and other labor-related laws in the PRC may adversely affect our business and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December 28, 2012, the PRC government released the revision of the Labor Contract Law of the PRC (</w:t>
      </w:r>
      <w:r>
        <w:rPr>
          <w:rFonts w:eastAsia="Times New Roman;Times;Serif"/>
          <w:b w:val="false"/>
          <w:i w:val="false"/>
          <w:caps w:val="false"/>
          <w:smallCaps w:val="false"/>
          <w:sz w:val="20"/>
        </w:rPr>
        <w:t>《中华人民共和国劳动合同法》</w:t>
      </w:r>
      <w:r>
        <w:rPr>
          <w:rFonts w:ascii="Times New Roman;Times;Serif" w:hAnsi="Times New Roman;Times;Serif"/>
          <w:b w:val="false"/>
          <w:i w:val="false"/>
          <w:caps w:val="false"/>
          <w:smallCaps w:val="false"/>
          <w:sz w:val="20"/>
        </w:rPr>
        <w:t>), which became effective on July 1, 2013. Pursuant to the Labor Contract Law of the PRC, employers are subject to stricter requirements in terms of signing labor contracts, minimum wages, paying remuneration, determining the term of employees’ probation and unilaterally terminating labor contracts. In the event that the operating entities decide to terminate some of their employees or otherwise change their employment or labor practices, the Labor Contract Law of the PRC and its implementation rules may limit the operating entities’ ability to effect those changes in a desirable or cost-effective manner, which could adversely affect our business and results of operations. According to the PRC Social Insurance Law (</w:t>
      </w:r>
      <w:r>
        <w:rPr>
          <w:rFonts w:eastAsia="Times New Roman;Times;Serif"/>
          <w:b w:val="false"/>
          <w:i w:val="false"/>
          <w:caps w:val="false"/>
          <w:smallCaps w:val="false"/>
          <w:sz w:val="20"/>
        </w:rPr>
        <w:t>《中华人民共和国社会保险法》</w:t>
      </w:r>
      <w:r>
        <w:rPr>
          <w:rFonts w:ascii="Times New Roman;Times;Serif" w:hAnsi="Times New Roman;Times;Serif"/>
          <w:b w:val="false"/>
          <w:i w:val="false"/>
          <w:caps w:val="false"/>
          <w:smallCaps w:val="false"/>
          <w:sz w:val="20"/>
        </w:rPr>
        <w:t>), employees must participate in pension insurance, work-related injury insurance, medical insurance, unemployment insurance and maternity insurance and the employers must, together with their employees or separately, pay the social insurance premiums for such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operating entities comply with labor-related laws and regulations in China in material aspects, including those relating to obligations to make social insurance payments and contribute to the housing provident fund. From July 2018 to March 2019, the operating entities had not made adequate contributions to social insurance and other employee benefits for their employees. We have recorded accruals for the estimated amount of underpayment in our financial statements. Pursuant to the PRC Social Insurance Law, if an employer fails to make full and timely contributions to social insurance, the relevant enforcement agency shall order the employer to make all outstanding contributions within five days of such order and impose penalties equal to 0.05% of the total outstanding amount for each additional day such contributions are overdue. If the employer fails to make all outstanding contributions within five days of such order, the relevant enforcement agency may impose penalties equal to one to three times the amount overdue. We estimate the amount of outstanding contributions from July 2018 to December 2018 to be approximately $0.1 million, and the amount of outstanding contributions from January 2019 to March 2019 to be approximately $0.09 million. As of the date of this prospectus, the operating entities have not received any employee complaint or any government audit request, or penalty orders for these outstanding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Wenxiu Zhong, our founder, through a guarantee letter dated April 29, 2020 (the “Guarantee Letter”), promised to unconditionally, irrevocably and personally bear any and all the economic losses and expenses actually incurred by our Company and the operating entities if the operating entities are subject to any payment or penalty in relation to the outstanding social insurance contributions from July 2018 to April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operating entities have not received any notice from relevant government authorities or any claim or request from their employees in this regard. However, we cannot assure you that the relevant government authorities will not require the operating entities to pay the outstanding amount and impose late fees or fines on them. If the operating entities are otherwise subject to investigations related to non-compliance with labor laws and are imposed severe penalties or incur significant legal fees in connection with labor disputes or investigations, our business, financial condition and results of operations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interpretation and implementation of labor-related laws and regulations are still evolving, we cannot assure you that the operating entities’ employment practices will not violate PRC labor-related laws and regulations in the future, which may subject them to labor disputes or government investigations. We cannot assure you that the operating entities will be able to comply with all labor-related law and regulations regarding including those relating to obligations to make social insurance payments and contribute to the housing provident fund. If the operating entities are deemed to violate relevant labor laws and regulations, they could be required to provide additional compensation to their employees and our business, financial condition and results of operations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obtain or maintain any preferential tax treatments, or the discontinuation, reduction or delay of any preferential tax treatments available to us in China could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Under the Enterprise Income Tax Law (</w:t>
      </w:r>
      <w:r>
        <w:rPr>
          <w:rFonts w:eastAsia="Times New Roman;Times;Serif"/>
          <w:b w:val="false"/>
          <w:i w:val="false"/>
          <w:caps w:val="false"/>
          <w:smallCaps w:val="false"/>
          <w:sz w:val="20"/>
        </w:rPr>
        <w:t>《中华人民共和国企业所得税法》</w:t>
      </w:r>
      <w:r>
        <w:rPr>
          <w:rFonts w:ascii="Times New Roman;Times;Serif" w:hAnsi="Times New Roman;Times;Serif"/>
          <w:b w:val="false"/>
          <w:i w:val="false"/>
          <w:caps w:val="false"/>
          <w:smallCaps w:val="false"/>
          <w:sz w:val="20"/>
        </w:rPr>
        <w:t>) (the “EIT Law”), foreign-invested companies, such as wholly foreign-owned enterprises, and domestic companies, such as our PRC subsidiaries, are subject to a unified income tax rate of 25%. Various favorable income tax rates are, however, available to qualified enterprises in certain encouraged sectors of the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Pursuant to the Notice on Preferential EIT Policies for Two Special Economic Development Zones of Kashi and Horgos in Xinjiang Uygur Autonomous Region (</w:t>
      </w:r>
      <w:r>
        <w:rPr>
          <w:rFonts w:eastAsia="Times New Roman;Times;Serif"/>
          <w:b w:val="false"/>
          <w:i w:val="false"/>
          <w:caps w:val="false"/>
          <w:smallCaps w:val="false"/>
          <w:sz w:val="20"/>
        </w:rPr>
        <w:t>《关于新疆喀什霍尔果斯两个特殊经济开发区企业所得税优惠政策的通知》</w:t>
      </w:r>
      <w:r>
        <w:rPr>
          <w:rFonts w:ascii="Times New Roman;Times;Serif" w:hAnsi="Times New Roman;Times;Serif"/>
          <w:b w:val="false"/>
          <w:i w:val="false"/>
          <w:caps w:val="false"/>
          <w:smallCaps w:val="false"/>
          <w:sz w:val="20"/>
        </w:rPr>
        <w:t>), and the Implementation Opinions on Accelerating the Construction of Kashi and Horgos Economic Development Zones (</w:t>
      </w:r>
      <w:r>
        <w:rPr>
          <w:rFonts w:eastAsia="Times New Roman;Times;Serif"/>
          <w:b w:val="false"/>
          <w:i w:val="false"/>
          <w:caps w:val="false"/>
          <w:smallCaps w:val="false"/>
          <w:sz w:val="20"/>
        </w:rPr>
        <w:t>《关于加快喀什、霍尔果斯经济开发区建设的实施意见》</w:t>
      </w:r>
      <w:r>
        <w:rPr>
          <w:rFonts w:ascii="Times New Roman;Times;Serif" w:hAnsi="Times New Roman;Times;Serif"/>
          <w:b w:val="false"/>
          <w:i w:val="false"/>
          <w:caps w:val="false"/>
          <w:smallCaps w:val="false"/>
          <w:sz w:val="20"/>
        </w:rPr>
        <w:t>) (together the “Xinjiang EIT Exemption Policies”), an enterprise established in Horgos or Kashi between January 1, 2010 and December 31, 2020 and falling within the scope of the Catalogue of EIT Incentives for Industries Particularly Encouraged for Development by Poverty Areas of Xinjiang (</w:t>
      </w:r>
      <w:r>
        <w:rPr>
          <w:rFonts w:eastAsia="Times New Roman;Times;Serif"/>
          <w:b w:val="false"/>
          <w:i w:val="false"/>
          <w:caps w:val="false"/>
          <w:smallCaps w:val="false"/>
          <w:sz w:val="20"/>
        </w:rPr>
        <w:t>《新疆困难地区重点鼓励发展产业企业所得税优惠目录》</w:t>
      </w:r>
      <w:r>
        <w:rPr>
          <w:rFonts w:ascii="Times New Roman;Times;Serif" w:hAnsi="Times New Roman;Times;Serif"/>
          <w:b w:val="false"/>
          <w:i w:val="false"/>
          <w:caps w:val="false"/>
          <w:smallCaps w:val="false"/>
          <w:sz w:val="20"/>
        </w:rPr>
        <w:t>) are exempted from enterprise income tax, or EIT, for five years beginning from the first year in which the manufacturing or business operational revenue is earned. After the initial EIT exemption period, the enterprise is entitled to another five-year exemption on the local portion of its 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several of our PRC subsidiaries benefited from preferential tax treatments from the PRC government. Horgos Baosheng enjoyed EIT exemption from 2016 to 2020, Kashi Baosheng enjoyed EIT exemption from 2018 to 2022, and Baosheng Technology has enjoyed EIT exemption since 2020 and is expected to continue enjoying the exemption until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several of our PRC subsidiaries had been or are now eligible for the foregoing preferential tax treatments, these preferential tax treatments are subject to uncertainties as to their interpretation, administrative implementation, changes and amendments from time to time, or even suspension and termination by relevant authorities. In particular, we cannot assure you that the Xinjiang EIT Exemption Policies will continue to be applied in such a way that will entitle Baosheng Technology to continue to enjoy full EIT exemption in accordance with the existing applicable provisions, or that Baosheng Technology will continue to be able to satisfy the qualifications provided for in the Xinjiang EIT Exemption Policies, the failure of which may render us no longer entitled to such EIT exemption. In the fiscal year 2020, Horgos Baosheng, Kashi Baosheng and Baosheng Technology all enjoyed the effective tax rate under the Xinjiang EIT Exemption Policies at 0%. In the fiscal years 2021 and 2022, Kashi Baosheng and Baosheng Technology enjoyed the effective tax rate under the Xinjiang EIT Exemption Policies at 0%, while Horgos Baosheng enjoyed the standard tax rate at 25%. Had a standard EIT rate of 25% been applied to us in these fiscal years, we would have reported net profit (loss) of $(23.7) million, $(6.7) million and $4.4 million in the fiscal years 2022, 2021 and 2020, respectively, representing a reduction of $nil (or 0%), $nil (or 0)%, and $2.7 million (or 38.2)% in our net profit,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tax laws, regulations, rules, policies, administrative measures or their interpretation or administrative implementation which are applicable to our PRC subsidiaries, or any change in our EIT exemption or any other preferential tax treatment status our PRC subsidiaries may enjoy, could result in a significant increase in their tax obligations and tax payments, which in turn will have a material and adverse impact on our financial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Enterprise Income Tax Law, we may be classified as a “Resident Enterprise” of China. Such classification will likely result in unfavorable tax consequences to us and our non-PRC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an enterprise established outside of China with “de facto management bodies” within China is considered a “resident enterprise”, meaning that it can be subject to an EIT rate of 25.0% on its global income. In April 2009, the State Administration of Taxation (“SAT”) promulgated a circular, known as Circular 82, and partially amended by Circular 9 promulgated in January 2014, to clarify the certain criteria for the determination of the “de facto management bodies” for foreign enterprises controlled by PRC enterprises or PRC enterprise groups. Under Circular 82, a foreign enterprise is considered a PRC resident enterprise if all of the following apply: (1) the senior management and core management departments in charge of daily operations are located mainly within China; (2) decisions relating to the enterprise’s financial and human resource matters are made or subject to approval by organizations or personnel in China; (3) the enterprise’s primary assets, accounting books and records, company seals, and board and shareholders’ meeting minutes are located or maintained in China; and (4) 50.0% or more of voting board members or senior executives of the enterprise habitually reside in China. Further to Circular 82, SAT issued a bulletin, known as Bulletin 45, effective in September 2011 and amended on June 1, 2015 and October 1, 2016 to provide more guidance on the implementation of Circular 82 and clarify the reporting and filing obligations of such “Chinese controlled offshore incorporated resident enterprises.” Bulletin 45 provides for, among other matters, procedures for the determination of resident status and administration of post-determination matters. Although Circular 82 and Bulletin 45 explicitly provide that the above standards apply to enterprises that are registered outside China and controlled by PRC enterprises or PRC enterprise groups, Circular 82 may reflect SAT’s criteria for determining the tax residence of foreign enterprises in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tax authorities determine that we are a “resident enterprise” for PRC enterprise income tax purposes, a number of unfavorable PRC tax consequences could follow. First, we may be subject to the enterprise income tax at a rate of 25% on our worldwide taxable income as well as PRC enterprise income tax reporting obligations. In our case, this would mean that income such as non-China source income would be subject to PRC enterprise income tax at a rate of 25%. Currently, we do not have any non-China source income, as we conduct our operations in China through the operating entities. Second, under the EIT Law and its implementing rules, dividends paid to us from our PRC subsidiaries would be deemed as “qualified investment income between resident enterprises” and therefore qualify as “tax-exempt income” pursuant to the clause 26 of the EIT Law. Finally, it is possible that future guidance issued with respect to the new “resident enterprise” classification could result in a situation in which the dividends we pay with respect to our Ordinary Shares, or the gain our non-PRC shareholders may realize from the transfer of our Ordinary Shares, may be treated as PRC-sourced income and may therefore be subject to a 10% PRC withholding tax. The EIT Law and its implementing regulations are, however, relatively new and ambiguities exist with respect to the interpretation and identification of PRC-sourced income, and the application and assessment of withholding taxes. If we are required under the EIT Law and its implementing regulations to withhold PRC income tax on dividends payable to our non-PRC shareholders, or if non-PRC shareholders are required to pay PRC income tax on gains on the transfer of their Ordinary Shares, our business could be negatively impacted and the value of your investment may be materially reduced. Further, if we were treated as a “resident enterprise” by PRC tax authorities, we would be subject to taxation in both China and such countries in which we have taxable income, and our PRC tax may not be creditable against such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 of loans to PRC entities by offshore holding companies and governmental control of currency conversion may delay or prevent us from using proceeds from our future financing activities to make loans to our PRC subsidiaries, which might adversely affect our liquidity and our ability to fund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Any foreign loan provided by us to our PRC operating subsidiaries is required to be registered or filed with the State Administration of Foreign Exchange, or SAFE, or the authorized local banks, and our PRC subsidiaries may not procure foreign loans which exceed the difference between its total investment amount and registered capital (the “Current Foreign Debt Mechanism”) or, as an alternative, only procure loans subject to the calculation approach and limitations as provided in the People’s Bank of China (“PBOC”) Circular on Matters concerning the Macro-Prudential Management of Full-Covered Cross-Border Financing (</w:t>
      </w:r>
      <w:r>
        <w:rPr>
          <w:rFonts w:eastAsia="Times New Roman;Times;Serif"/>
          <w:b w:val="false"/>
          <w:i w:val="false"/>
          <w:caps w:val="false"/>
          <w:smallCaps w:val="false"/>
          <w:sz w:val="20"/>
        </w:rPr>
        <w:t>银发〔</w:t>
      </w:r>
      <w:r>
        <w:rPr>
          <w:rFonts w:ascii="Times New Roman;Times;Serif" w:hAnsi="Times New Roman;Times;Serif"/>
          <w:b w:val="false"/>
          <w:i w:val="false"/>
          <w:caps w:val="false"/>
          <w:smallCaps w:val="false"/>
          <w:sz w:val="20"/>
        </w:rPr>
        <w:t>2017</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9</w:t>
      </w:r>
      <w:r>
        <w:rPr>
          <w:rFonts w:eastAsia="Times New Roman;Times;Serif"/>
          <w:b w:val="false"/>
          <w:i w:val="false"/>
          <w:caps w:val="false"/>
          <w:smallCaps w:val="false"/>
          <w:sz w:val="20"/>
        </w:rPr>
        <w:t>号《中国人民银行关于全口径跨境融资宏观审慎管理有关事宜的通知》</w:t>
      </w:r>
      <w:r>
        <w:rPr>
          <w:rFonts w:ascii="Times New Roman;Times;Serif" w:hAnsi="Times New Roman;Times;Serif"/>
          <w:b w:val="false"/>
          <w:i w:val="false"/>
          <w:caps w:val="false"/>
          <w:smallCaps w:val="false"/>
          <w:sz w:val="20"/>
        </w:rPr>
        <w:t>), or “PBOC Notice No. 9” (the “PBOC Notice No. 9 Mechanism”), which shall not exceed 200% of the net asset of the relevant PRC subsidiary. According to PBOC Notice No. 9, after a transition period of one year since its promulgation, PBOC and SAFE will determine the cross-border financing administration mechanism for the foreign-invested enterprises after evaluating the overall implementation of PBOC Notice No. 9. On March 11, 2020, Notice of PBOC and SAFE on the Adjustment of Macro-Prudential Adjustment Parameters for Full-Covered Cross-border Financing was issued, according to which, the Macro-Prudential Adjustment Parameters provided in the PBOC Notice No. 9 was adjusted from 1 to 1.25. On January 7, 2021, Notice of People’s Bank of China and State Administration of Foreign Exchange on the Adjustment of Macro-Prudential Adjustment Parameters for Cross-border Financing of Enterprises (</w:t>
      </w:r>
      <w:r>
        <w:rPr>
          <w:rFonts w:eastAsia="Times New Roman;Times;Serif"/>
          <w:b w:val="false"/>
          <w:i w:val="false"/>
          <w:caps w:val="false"/>
          <w:smallCaps w:val="false"/>
          <w:sz w:val="20"/>
        </w:rPr>
        <w:t>《中国人民银行、国家外汇管理局关于调整企业跨境融资宏观审慎调节参数的通知》</w:t>
      </w:r>
      <w:r>
        <w:rPr>
          <w:rFonts w:ascii="Times New Roman;Times;Serif" w:hAnsi="Times New Roman;Times;Serif"/>
          <w:b w:val="false"/>
          <w:i w:val="false"/>
          <w:caps w:val="false"/>
          <w:smallCaps w:val="false"/>
          <w:sz w:val="20"/>
        </w:rPr>
        <w:t>) was issued, according to which, the Macro-Prudential Adjustment Parameters provided in the PBOC Notice No. 9 was adjusted from 1.25 to 1. On October 25, 2022, the PBOC and SAFE further adjusted the Macro-Prudential Adjustment Parameters from 1 to 1.25. As of the date hereof, neither PBOC nor SAFE has promulgated and made public any further rules, regulations, notices, or circulars in this regard. It is uncertain which mechanism will be adopted by PBOC and SAFE in the future and what statutory limits will be imposed on us when providing loans to our PRC operating subsidiaries. Currently, our PRC subsidiaries have the flexibility to choose between the Current Foreign Debt Mechanism and the PBOC Notice No. 9 Mechanism. However, if a more stringent foreign debt mechanism becomes mandatory, our ability to provide loans to our PRC subsidiaries may be significantly limited, which may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seek to provide any loans to our PRC subsidiaries in the future, we may not be able to obtain the required government approvals or complete the required registrations on a timely basis, if at all. If we fail to receive such approvals or complete such registrations, our ability to capitalize our PRC operations may be negatively affected, which could adversely affect our liquidity and our ability to fund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mainland PRC laws and regulations permit the companies in mainland China to pay dividends only out of their respective retained earnings, if any, as determined in accordance with mainland China accounting standards and regulations. Additionally, each of the companies in mainland China are required to set aside at least 10% of its after-tax profits each year, if any, to fund a statutory reserve until such reserve reaches 50% of its registered capital. The companies in mainland China are also required to further set aside a portion of their after-tax profits to fund the employee welfare fund, although the amount to be set aside, if any, is determined at their discretion. These reserves are not distributable as cash dividends. Furthermore, in order for us to pay dividends to our shareholders, we may rely on payments made from our mainland PRC subsidiaries to their respective shareholders and then to our Company. If our these entities incur debt on their own behalf in the future, the instruments governing the debt may restrict their ability to pay dividends or make other payments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dividends, if any, will be paid in U.S. dollars. If we are considered a tax resident enterprise of mainland China for tax purposes, any dividends we pay to our overseas shareholders may be regarded as mainland China-sourced income and as a result may be subject to mainland PRC withholding tax. See “Risk Factors — Risks Related to Doing Business in China — Under the Enterprise Income Tax Law, we may be classified as a ‘Resident Enterprise’ of China. Such classification will likely result in unfavorable tax consequences to us and our non-PRC shareholders.” The PRC government also imposes controls on the convertibility of Renminbi into foreign currencies and, in certain cases, the remittance of currency out of mainland China.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the State Administration of Foreign Exchange as long as certain procedural requirements are met. Approval from appropriate government authorities is required if Renminbi is converted into foreign currency and remitted out of mainland China to pay capital expenses such as the repayment of loans denominated in foreign currencies. The PRC government may, at its discretion, impose restrictions on access to foreign currencies for current account transactions and if this occurs in the future, we may not be able to pay dividends in foreign currencies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no restrictions or limitations imposed by the Hong Kong government on the transfer of capital within, into, and out of Hong Kong (including funds from Hong Kong to mainland China), except for the transfer of funds involving money laundering and criminal activities. However, there is no guarantee that the Hong Kong government will not promulgate new laws or regulations that may impose such restrictions in the future. If there is a significant change to current political arrangements between mainland China and Hong Kong, or the applicable laws, regulations, or interpretations change, our Hong Kong subsidiary may become subject to PRC laws or authorities. As a result, our Hong Kong subsidiary could be subject to similar government controls on the convertibility of foreign currency and the remittance of currency out of Hong Kong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to the extent cash in the business is in the PRC/Hong Kong or a PRC/Hong Kong entity, such funds or assets may not be available to fund operations or for other use outside of the PRC/Hong Kong, due to interventions in or the imposition of restrictions and limitations on the ability of us or our subsidiaries by the competent government to the transfer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paid by our subsidiaries for our cash needs, and any limitation on the ability of our subsidiaries to make payments to us could have a material adverse effect on our ability to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we conduct substantially all of our business through the operating entities incorporated in China, and this structure involves unique risks to investors. We may rely on dividends paid by our PRC subsidiaries for our cash needs, including the funds necessary to pay any dividends and other cash distributions to our shareholders, to service any debt we may incur and to pay our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PRC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PRC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result, any restriction on currency exchange may limit the ability of our PRC subsidiaries to use any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transactions,”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Any existing and future restrictions on currency exchange may limit our ability to utilize revenue generated in Renminbi to fund our business activities outside of China or pay dividends in foreign currencies to holders of our Ordinary Shares.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persistent capital outflow in China and Renminbi’s depreciation against the U.S. dollar in the fourth quarter of 2016, PBOC and SAFE have promulgated a series of capital controls in early 2017, including stricter vetting procedures for domestic companies to remit foreign currency for overseas investments, dividends payments and shareholder loan 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may continue to strengthen its capital controls, and more restrictions and substantial vetting processes may be put forward by SAFE for cross-border transactions falling under both the current account and the capital account.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PRC regulations relating to the establishment of offshore special purpose companies by PRC residents may subject our PRC resident Shareholders to personal liability, may limit our ability to acquire PRC companies or to inject capital into our PRC subsidiaries, may limit the ability of our PRC subsidiaries to distribute profits to us or may otherwise materially and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Pursuant to the Circular on relevant issues concerning Foreign Exchange Administration of Overseas Investment and Financing and Return Investments Conducted by Domestic Residents through Overseas Special Purpose Vehicle (</w:t>
      </w:r>
      <w:r>
        <w:rPr>
          <w:rFonts w:eastAsia="Times New Roman;Times;Serif"/>
          <w:b w:val="false"/>
          <w:i w:val="false"/>
          <w:caps w:val="false"/>
          <w:smallCaps w:val="false"/>
          <w:sz w:val="20"/>
        </w:rPr>
        <w:t>《关于境内居民通过特殊目的公司境外投融资及返程投资外汇管理有关问题的通知》</w:t>
      </w:r>
      <w:r>
        <w:rPr>
          <w:rFonts w:ascii="Times New Roman;Times;Serif" w:hAnsi="Times New Roman;Times;Serif"/>
          <w:b w:val="false"/>
          <w:i w:val="false"/>
          <w:caps w:val="false"/>
          <w:smallCaps w:val="false"/>
          <w:sz w:val="20"/>
        </w:rPr>
        <w:t>) (“Circular 37”), which was promulgated by SAFE, and became effective on July 4, 2014, (1) a PRC resident must register with the local SAFE branch before he or she contributes assets or equity interests in an overseas special purpose vehicle, or an Overseas SPV, that is directly established or indirectly controlled by the PRC resident for the purpose of conducting investment or financing; and (2) following the initial registration, the PRC resident is also required to register with the local SAFE branch for any major change, in respect of the Overseas SPV, including, among other things, a change in the Overseas SPV’s PRC resident shareholder, name of the Overseas SPV, term of operation, or any increase or reduction of the contributions by the PRC resident, share transfer or swap, and merger or division. Additionally, pursuant to the Circular of SAFE on Further Simplifying and Improving the Direct Investment-related Foreign Exchange Administration Policies (</w:t>
      </w:r>
      <w:r>
        <w:rPr>
          <w:rFonts w:eastAsia="Times New Roman;Times;Serif"/>
          <w:b w:val="false"/>
          <w:i w:val="false"/>
          <w:caps w:val="false"/>
          <w:smallCaps w:val="false"/>
          <w:sz w:val="20"/>
        </w:rPr>
        <w:t>《关于进一步简化和改进直接投资外汇管理政策的通知》</w:t>
      </w:r>
      <w:r>
        <w:rPr>
          <w:rFonts w:ascii="Times New Roman;Times;Serif" w:hAnsi="Times New Roman;Times;Serif"/>
          <w:b w:val="false"/>
          <w:i w:val="false"/>
          <w:caps w:val="false"/>
          <w:smallCaps w:val="false"/>
          <w:sz w:val="20"/>
        </w:rPr>
        <w:t>) (“Circular 13”), which was promulgated on February 13, 2015 and became effective on June 1, 2015, the aforesaid registration shall be directly reviewed and handled by qualified banks in accordance with the Circular 13, and SAFE and its branches shall perform indirect regulation over the foreign exchange registration via qualified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Wenxiu Zhong, Mr. Sheng Gong and Mr. Hui Yu completed the initial foreign exchange registration on January 9, 2019. As it remains unclear how Circular 37 and Circular 13 will be interpreted and implemented, and how or whether SAFE will apply them to us. Therefore, we cannot predict how they will affect our business operations or future strategies. For example, the ability of our present and prospective PRC subsidiaries to conduct foreign exchange activities, such as the remittance of dividends and foreign currency-denominated borrowings, may be subject to compliance with Circular 37 and Circular 13 by our PRC resident beneficial holders. In addition, as we have little control over either our present or prospective, direct or indirect shareholders or the outcome of such registration procedures, we cannot assure you that these shareholders who are PRC residents will amend or update their registration as required under Circular 37 and Circular 13 in a timely manner or at all. Failure of our present or future shareholders who are PRC residents to comply with Circular 37 and Circular 13 could subject these shareholders to fines or legal sanctions, restrict our overseas or cross-border investment activities, limit the ability of our PRC subsidiaries to make distributions or pay dividends or affect our ownership structure, which could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subject to PRC income tax on dividends from us or on any gain realized on the transfer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Under the EIT Law and its implementation rules, subject to any applicable tax treaty or similar arrangement between the PRC and your jurisdiction of residence that provides for a different income tax arrangement, PRC withholding tax at the rate of 10.0% is normally applicable to dividends from PRC sources payable to investors that are non-PRC resident enterprises, which do not have an establishment or place of business in China, or which have such establishment or place of business if the relevant income is not effectively connected with the establishment or place of business. Any gain realized on the transfer of shares by such investors is subject to 10.0% PRC income tax if such gain is regarded as income derived from sources within China unless a treaty or similar arrangement otherwise provides. Under the Individual Income Tax Law of the PRC (</w:t>
      </w:r>
      <w:r>
        <w:rPr>
          <w:rFonts w:eastAsia="Times New Roman;Times;Serif"/>
          <w:b w:val="false"/>
          <w:i w:val="false"/>
          <w:caps w:val="false"/>
          <w:smallCaps w:val="false"/>
          <w:sz w:val="20"/>
        </w:rPr>
        <w:t>《中华人民共和国个人所得税法》</w:t>
      </w:r>
      <w:r>
        <w:rPr>
          <w:rFonts w:ascii="Times New Roman;Times;Serif" w:hAnsi="Times New Roman;Times;Serif"/>
          <w:b w:val="false"/>
          <w:i w:val="false"/>
          <w:caps w:val="false"/>
          <w:smallCaps w:val="false"/>
          <w:sz w:val="20"/>
        </w:rPr>
        <w:t>) and its implementation rules, dividends from sources within China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we will be treated by the PRC tax authorities as a PRC tax resident enterprise. In that case, any dividends we pay to our shareholders may be regarded as income derived from sources within China and we may be required to withhold a 10.0% PRC withholding tax for the dividends we pay to our investors who are non-PRC corporate shareholders, or a 20.0% withholding tax for the dividends we pay to our investors who are non-PRC individual shareholders, including the holders of our Ordinary Shares. In addition, our non-PRC shareholders may be subject to PRC tax on gains realized on the sale or other disposition of our Ordinary Shares, if such income is treated as sourced from within China. It is unclear whether our non-PRC shareholders would be able to claim the benefits of any tax treaties between their tax residence and China in the event that we are considered as a PRC resident enterprise. If PRC income tax is imposed on gains realized through the transfer of our Ordinary Shares or on dividends paid to our non-resident investors, the value of your investment in our Ordinary Shares may be materially and adversely affected. Furthermore, our shareholders whose jurisdictions of residence have tax treaties or arrangements with China may not qualify for benefits under such tax treaties or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complete a business combination transaction efficiently or on favorable terms due to complicated merger and acquisition regulations and certain other PRC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August 8, 2006, six PRC regulatory authorities, including the Ministry of Commerce of the PRC (“MOFCOM”), the State Assets Supervision and Administration Commission, SAT, the Administration for Industry and Commerce (“SAIC”), the China Securities Regulatory Commission (“CSRC”) and SAFE, jointly issued the Regulations on Mergers and Acquisitions of Domestic Enterprises by Foreign Investors (</w:t>
      </w:r>
      <w:r>
        <w:rPr>
          <w:rFonts w:eastAsia="Times New Roman;Times;Serif"/>
          <w:b w:val="false"/>
          <w:i w:val="false"/>
          <w:caps w:val="false"/>
          <w:smallCaps w:val="false"/>
          <w:sz w:val="20"/>
        </w:rPr>
        <w:t>《关于外国投资者并购境内企业的规定》</w:t>
      </w:r>
      <w:r>
        <w:rPr>
          <w:rFonts w:ascii="Times New Roman;Times;Serif" w:hAnsi="Times New Roman;Times;Serif"/>
          <w:b w:val="false"/>
          <w:i w:val="false"/>
          <w:caps w:val="false"/>
          <w:smallCaps w:val="false"/>
          <w:sz w:val="20"/>
        </w:rPr>
        <w:t>) (the “M&amp;A Rules”), which became effective on September 8, 2006 and was amended in June 2009. The M&amp;A Rules, governing the approval process by which a PRC company may participate in an acquisition of assets or equity interests by foreign investors, require the PRC parties to make a series of applications and supplemental applications to the government agencies, depending on the structure of the transaction. The M&amp;A Rules also prohibit a transaction at an acquisition price obviously lower than the appraised value of the business or assets in China and in certain transaction structures, require that consideration must be paid within defined periods, generally not in excess of a year. In addition, the M&amp;A Rules also limit our ability to negotiate various terms of the acquisition, including aspects of the initial consideration, contingent consideration, holdback provisions, indemnification provisions and provisions relating to the assumption and allocation of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promulgation of the Foreign Investment Law, the Measures on Reporting of Foreign Investment Information (effective from January 1, 2020) and other relevant regulations recently in China, certain provisions of the M&amp;A Rules, which are in conflict with the new foreign investment rules, are no longer enforceable. For example, mergers and acquisitions by foreign investor of a PRC entity which is not an affiliate to the foreign investor and does not engage in any business on the special administrative measures for access of foreign investment (the “Negative List”) for foreign investment, will not be subject to the approval process as prescribed by the M&amp;A Rules. However, given the M&amp;A Rules are not officially abolished and due to lack of official interpretation and guidance, the M&amp;A Rules might still be enforceable against the transaction parties in terms of price evaluation, payment terms, and certain other aspects that the new foreign investment rules are silent on. Therefore, the M&amp;A Rules may impede our ability to negotiate and complete a business combination transaction on legal and/or financial terms that satisfy our investors and protect our shareholders’ economic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uncertainties with respect to indirect transfers of equity interests in PRC resident enterprises by their non-PRC holding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 released a circular on December 15, 2009 that addresses the transfer of shares by nonresident companies, generally referred to as Circular 698. Circular 698, which became effective retroactively to January 1, 2008, may have a significant impact on many companies that use offshore holding companies to invest in China. Circular 698 has the effect of taxing foreign companies on gains derived from the indirect sale of a PRC company. Where a foreign investor indirectly transfers equity interests in a PRC resident enterprise by selling the shares in an offshore holding company, and the latter is located in a country or jurisdiction that has an effective tax rate less than 12.5% or does not tax foreign income of its residents, the foreign investor must report this indirect transfer to the tax authority in charge of that PRC resident enterprise. Using a “substance over form” principle, the PRC tax authority may disregard the existence of the overseas holding company if it lacks a reasonable commercial purpose and was established for the purpose of avoiding PRC tax. As a result, gains derived from such indirect transfer may be subject to PRC withholding tax at a rate of up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SAT subsequently released public notices to clarify issues relating to Circular 698, including the Announcement on Several Issues concerning the EIT on the Indirect Transfers of Properties by Nonresident Enterprises (</w:t>
      </w:r>
      <w:r>
        <w:rPr>
          <w:rFonts w:eastAsia="Times New Roman;Times;Serif"/>
          <w:b w:val="false"/>
          <w:i w:val="false"/>
          <w:caps w:val="false"/>
          <w:smallCaps w:val="false"/>
          <w:sz w:val="20"/>
        </w:rPr>
        <w:t>《关于非居民企业间接转让财产企业所得税若干问题的公告》</w:t>
      </w:r>
      <w:r>
        <w:rPr>
          <w:rFonts w:ascii="Times New Roman;Times;Serif" w:hAnsi="Times New Roman;Times;Serif"/>
          <w:b w:val="false"/>
          <w:i w:val="false"/>
          <w:caps w:val="false"/>
          <w:smallCaps w:val="false"/>
          <w:sz w:val="20"/>
        </w:rPr>
        <w:t>) (the “SAT Notice 7”), which became effective on February 3, 2015. SAT Notice 7 abolished the compulsive reporting obligations originally set out in Circular 698. Under SAT Notice 7, if a non-resident enterprise transfers its shares in an overseas holding company, which directly or indirectly owns PRC taxable properties, including shares in a PRC company, via an arrangement without reasonable commercial purpose, such transfer shall be deemed as indirect transfer of the underlying PRC taxable properties. Accordingly, the transferee shall be deemed as a withholding agent with the obligation to withhold and remit the EIT to the competent PRC tax authorities. Factors that may be taken into consideration when determining whether there is a “reasonable commercial purpose” include, among other factors, the economic essence of the transferred shares, the economic essence of the assets held by the overseas holding company, the taxability of the transaction in offshore jurisdictions, and economic essence and duration of the offshore structure. SAT Notice 7 also sets out safe harbors for the “reasonable commercial purpose”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On October 17, 2017, SAT released the Notice on Several Issues concerning the Withholding and Collection of Income Tax of Non-resident Enterprises from the Source (</w:t>
      </w:r>
      <w:r>
        <w:rPr>
          <w:rFonts w:eastAsia="Times New Roman;Times;Serif"/>
          <w:b w:val="false"/>
          <w:i w:val="false"/>
          <w:caps w:val="false"/>
          <w:smallCaps w:val="false"/>
          <w:sz w:val="20"/>
        </w:rPr>
        <w:t>《关于非居民企业所得税源泉扣缴有关问题的公告》</w:t>
      </w:r>
      <w:r>
        <w:rPr>
          <w:rFonts w:ascii="Times New Roman;Times;Serif" w:hAnsi="Times New Roman;Times;Serif"/>
          <w:b w:val="false"/>
          <w:i w:val="false"/>
          <w:caps w:val="false"/>
          <w:smallCaps w:val="false"/>
          <w:sz w:val="20"/>
        </w:rPr>
        <w:t>) (“SAT Notice 37”). SAT Notice 37 clarifies: (1) matters concerning the withholding and collection of corporate income tax, and property transfer of non-resident enterprises based on the EIT Law; (2) the currencies required to be used by the withholding agents (when the payments is made in a currency rather than RMB), as well as the time, venue and business for the performance of the withholding and collection obligations; and (3) the abolishment of Circular 698.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little guidance and practical experience regarding the application of SAT Notice 7 and SAT Notice 37 and the related SAT notices. Moreover, the relevant authority has not yet promulgated any formal provisions or formally declared or stated how to calculate the effective tax rates in foreign tax jurisdictions. As a result, due to our complex offshore restructuring, we may become at risk of being taxed under SAT Notice 7 and SAT Notice 37 and we may be required to expend valuable resources to comply with SAT Notice 7 and SAT Notice 37 or to establish that we should not be taxed under SAT Notice 7 and SAT Notice 37, which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have difficulty effecting service of legal process, enforcing judgments or bringing actions against us and our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Cayman Islands holding company. In addition, substantially all of our assets and substantially all of the assets of our directors and executive officers are located in the PRC. As a result, investors may not be able to effect service of process upon us or our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China has not entered into treaties or arrangements providing for the recognition and enforcement of judgments made by courts of most other jurisdictions. Any final judgment obtained against us in any court other than the courts of the PRC in connection with any legal suit or proceeding arising out of or relating to our Ordinary Shares will be enforced by the courts of the PRC without further review of the merits only if the court of the PRC in which enforcement is sought is satisfied that:</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95"/>
        <w:gridCol w:w="86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court rendering the judgment has jurisdiction over the subject matter according to the laws of the PRC;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and the court procedure resulting in the judgment are not contrary to the public order or good morals of the PRC;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judgment was rendered by default by the court rendering the judgment, we, or the above-mentioned persons, were duly served within a reasonable period of time in accordance with the laws and regulations of the jurisdiction of the court or process was served on us with judicial assistance of the PRC;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judgments at the courts of the PRC are recognized and enforceable in the court rendering the judgment on a reciprocal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fail to establish the foregoing to the satisfaction of the courts in the PRC, you may not be able to enforce a judgment against us rendered by a court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pursuant to the Civil Procedures Law of the PRC, any matter, including matters arising under U.S. federal securities laws, in relation to assets or personal relationships may be brought as an original action in China, only if the institution of such action satisfies the conditions specified in the Civil Procedures Law of the PRC. As a result of the conditions set forth in the Civil Procedures Law and the discretion of the PRC courts to determine whether the conditions are satisfied and whether to accept action for adjudication, there remains uncertainty as to whether an investor will be able to bring an original action in a PRC court based on U.S.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regulatory bodies may be limited in their ability to conduct investigations or inspections of our operations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and conduct our operations in China through the operating entities. Substantially all of our assets are located outside of the United States. In addition, all of our directors and officers reside in China, including our chief executive officer and chairperson of the board, Shasha Mi, our chief financial officer, Yue Jin, and our directors, Sheng Gong, Kun Zhang, Guangyao Zhu, and Changhong Jiang. As a result, it may be difficult or impossible for you to bring an action against us or against these individuals in the United States in the event that you believe we have violated your rights, either under United States federal or state securities laws or otherwise, or if you have a claim against us. Even if you are successful in bringing an action of this kind, the laws of the Cayman Island and of China may render you unable to enforce a judgment against our assets or the assets of our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the U.S. Department of Justice and other U.S. authorities may also have difficulties in bringing and enforcing actions against us or our directors or executive officers in the PRC. The SEC has stated that there are significant legal and other obstacles to obtaining information needed for investigations or litigation in China. China has adopted a revised securities law that became effective on March 1, 2020, Article 177 of which provides, among other things, that no overseas securities regulator is allowed to directly conduct investigation or evidence collection activities within the territory of the PRC. Accordingly, without governmental approval in China,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recent joint statement by the SEC and the PCAOB, rule changes by Nasdaq, and the Holding Foreign Companies Accountable Act and related regulations,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2020, Nasdaq filed three proposals with the SEC to (i) apply a minimum offering size requirement for companies primarily operating in a “Restrictive Market,” (ii) adopt a new requirement relating to the qualification of management or the board of directors for Restrictive Market companies, and (iii) apply additional and more stringent criteria to an applicant or listed company based on the qualifications of the company’s auditor. On October 4, 2021, the SEC approved Nasdaq’s revised proposal for the rule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Holding Foreign Companies Accountable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Holding Foreign Companies Accountable Act. On December 18, 2020, the Holding Foreign Companies Accountable Act was signed into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adopted interim final rules relating to the implementation of certain disclosure and documentation requirements of the Holding Foreign Companies Accountable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2021, the PCAOB adopted a final rule implementing the Holding Foreign Companies Accountable Act, which provides a framework for the PCAOB to use when determining, as contemplated under the Holding Foreign Companies Accountable Act, whether the board of directors of a company is unable to inspect or investigate completely registered public accounting firms located in a foreign jurisdiction because of a position taken by one or more authorities in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adopted amendments to finalize rules implementing the submission and disclosure requirements in the Holding Foreign Companies Accountable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Determination Report on December 16, 2021 which found that the PCAOB is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 In addition, the PCAOB’s report identified the specific registered public accounting firms which are subject to these determinations.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China Securities Regulatory Commission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PCAOB determined that it was able to secure complete access to inspect and investigate registered public accounting firms headquartered in mainland China and Hong Kong and vacated its previous determinations to the contrary. However, should PRC authorities obstruct or otherwise fail to facilitate the PCAOB’s access in the future, the PCAOB may consider the need to issue a new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U.S. Senate passed the Accelerating Holding Foreign Companies Accountable Act, and on December 29, 2022, the Consolidated Appropriations Act 2023 was signed into law, which contained, among other things, an identical provision to the Accelerating Holding Foreign Companies Accountable Act, which reduces the number of consecutive non-inspection years required for triggering the prohibitions under the Holding Foreign Companies Accountable Act from three years to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YCM CPA INC.,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and was not identified in the Determination Report as a firm subject to the PCAOB’s determination. YCM CPA INC. is headquartered in Irvine, California, and has been inspected by the PCAOB on a regular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cannot assure you whether the national securities exchange we are listed on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our audit. In addition, our Ordinary Shares may be delisted in the future if the PCAOB is unable to inspect our accounting firm within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liabilities under the Foreign Corrupt Practices Act and Chinese anti-corruption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U.S. Foreign Corrupt Practices Act (the “FCPA”), and other laws that prohibit improper payments or offers of payments to foreign governments and their officials and political parties by U.S. persons and issuers as defined by the statute for the purpose of obtaining or retaining business. We are also subject to Chinese anti-corruption laws, which strictly prohibit the payment of bribes to government officials. Through the operating entities, we have operations, agreements with third parties, and provide services in China, which may experience corruption. Our activities in China create the risk of unauthorized payments or offers of payments by one of the employees, consultants or distributors of our Company, because these parties are not always subject to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to date we have complied in all material respects with the provisions of the FCPA and Chinese anti-corruption law, our existing safeguards and any future improvements may prove to be less than effective, and the employees, consultants or distributors of our Company may engage in conduct for which we might be held responsible. Violations of the FCPA or Chinese anti-corruption law may result in severe criminal or civil sanctions, and we may be subject to other liabilities, which could negatively affect our business, operating results and financial condition. In addition, the government may seek to hold our Company liable for successor liability FCPA violations committed by companies in which we invest or that we acquire.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our business is conducted in RMB and the price of our Ordinary Shares is quoted in the U.S. dollar, changes in the exchange rate between RMB and the U.S. dollar may affect the value of your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conducted in the PRC through the operating entities with books and records maintained in RMB. However, the financial statements that we file with the SEC and provide to our shareholders are presented in the U.S. dollar. Changes in the exchange rate between RMB and the U.S. dollar affect the value of our assets and the results of our operations in the U.S. dollar. The exchange rate between RMB and the U.S. dollar is affected by, among other things, changes in the PRC’s political and economic conditions and perceived changes in the economy of the PRC and the United States. Any significant revaluation of the RMB may materially and adversely affect our cash flows, revenue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i_005"/>
      <w:bookmarkEnd w:id="22"/>
      <w:r>
        <w:rPr>
          <w:rFonts w:ascii="Times New Roman;Times;Serif" w:hAnsi="Times New Roman;Times;Serif"/>
          <w:b/>
          <w:i w:val="false"/>
          <w:caps w:val="false"/>
          <w:smallCaps w:val="false"/>
          <w:sz w:val="20"/>
        </w:rPr>
        <w:t>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any combination of the securities described in this prospectus (as may be detailed in a prospectus supplement) up to a total dollar amount of US$100,000,000 in one or more offerings. The Selling Shareholders may, from time to time, offer and sell any or all of their Ordinary Shares in one or more offerings. The Ordinary Shares offered under this prospectus may be offered in amounts, at prices, and on terms to be determined at the time of sale. See “Plan of Distribution.” We will keep the registration statement of which this prospectus is a part effective until such time as all of the securities covered by this prospectus have been disposed of pursuant to and in accordance with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i_006"/>
      <w:bookmarkEnd w:id="23"/>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i_007"/>
      <w:bookmarkEnd w:id="24"/>
      <w:r>
        <w:rPr>
          <w:rFonts w:ascii="Times New Roman;Times;Serif" w:hAnsi="Times New Roman;Times;Serif"/>
          <w:b/>
          <w:i w:val="false"/>
          <w:caps/>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Selling Shareholders who offer and sell Ordinary Shares covered by this prospectus may do so at various times, at prices and at terms then prevailing or at prices related to the then current market price, or in negotiated transactions, we have not included in this prospectus information about the dilution (if any) to the public arising from these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tangible book value per share of our equity securities before and after the offering;</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increase in such net tangible book value per share attributable to the cash payments made by purchasers in the offering; and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immediate dilution from the public offering price which will be absorbed by such purchasers.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i_008"/>
      <w:bookmarkEnd w:id="25"/>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we offer hereby. Unless otherwise specified in any prospectus supplement, we currently intend to use the net proceeds from the sale of securities offered by us under this prospectus for general corporate purposes, which may include capital expenditures, working capital, and other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any of Ordinary Shares by the Selling Shareholders. The Selling Shareholders will pay any brokerage commissions and/or similar charges incurred in connection with the sale of the Ordinary Shares covered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other costs, fees and expenses incurred in effecting the registration of the securities covered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i_010"/>
      <w:bookmarkEnd w:id="26"/>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our share capital and provisions of our amended and restated memorandum and articles of association are summaries and do not purport to be complete. References are made to our amended and restated memorandum and articles of association, which are filed as an exhibit to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and our affairs are governed by our Amended and Restated Memorandum and Articles of Association, as amended and restated from time to time, and Companies Act (As Revised) of the Cayman Islands, which we refer to as the Companies Act or the Cayman Companies Act below, and the common law of the Cayman Islands. Our shareholders adopted our Amended and Restated Memorandum and Articles of Association by a special resolution on July 20, 2020 and effective on February 10,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Amended and Restated Memorandum and Articles of Association and the Companies Act insofar as they relate to the material terms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US$60,000 divided into 6,250,000 Ordinary Shares, par value $0.0096 per share. All of our issued and outstanding Ordinary Shares are fully paid and non-assessable. Certificates representing the Ordinary Shares are issued in registered form. Our shareholders who are non-residents of the Cayman Islands may freely hold and vote their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attaching to any class or classes of shares under and in accordance with the articles:</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230"/>
        <w:gridCol w:w="96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dividends or distributions out of our funds which are lawfully available for that purpose;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shareholders may, by ordinary resolution, declare dividends but no such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Cayman Companies Act regarding the application of a company’s share premium account and with the sanction of an ordinary resolution, dividends may also be declared and paid out of the funds of our Company lawfully available therefor. The directors when paying dividends to shareholders may make such payment either in cash or in specie.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unless any share carries special voting rights, on a show of hands every shareholder who is present in person and every person representing a shareholder by proxy shall have one vote per Ordinary Share. On a poll, every shareholder who is present in person and every person representing a shareholder by proxy shall have one vote for each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attaching to any class of share (unless otherwise provided by the terms of issue of the shares of that class) may be varied with the consent in writing of all of the holders of the issued shares of that class or with the sanction of a special resolution passed at a separate meeting of the holders of the shares of that class.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the existing shares of that class or subsequent to them or the redemption or purchase of any shares of any class by our company. The rights conferred upon the holders of the shares of any class issued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our shareholders may,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new shares of the amount fixed by that ordinary resolution and with the attached rights, priorities and privileges set out in that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 than our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30"/>
        <w:gridCol w:w="94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 all or any of our paid-up shares into stock, and reconvert that stock into paid up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any rights for the time being conferred on the shareholders holding a particular class of shares, our shareholders may, by special resolution, reduce its share capital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Cayman Companies Act, pass a special resolution allowing the liquidator to do either or both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shareholders and those liable to contribute to the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calendar days’ notice specifying when and where payment is to be made), pay to us the amount called on his shares. Shareholders registered as the joint holders of a share shall be jointly and severally liable to pay all calls in respect of the share. 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The directors may, at their discretion, waive payment of the interest wholly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that have been called upon and remain unpaid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capital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 but his liability shall cease if and when we receive payment in full of the unpaid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and shall carry the credit of such account from time to time to a sum equal to the amount or value of the premium paid on the issue of any share or capital contributed or such other amounts required by the Cayman Companies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any rights for the time being conferred on the shareholders holding a particular class of shares, we may by action of our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liable to be redeemed, at our option or the shareholder holding those redeemable shares, on the terms and in the manner our directors determine before the issue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its own shares in any manner authorized by the Cayman Companies Act, including out of any combination of capital, our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transfer of Ordinary Shares complies with applicable rules of Nasdaq, a shareholder may transfer Ordinary Shares to another person by completing an instrument of transfer in a common form or in a form prescribed by Nasdaq or in any other form approved by the directors, executed:</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75"/>
        <w:gridCol w:w="230"/>
        <w:gridCol w:w="65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fully paid, by or on behalf of that shareholder; and</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partly paid, by or on behalf of that shareholder and the transferee.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an Ordinary Share until the name of the transferee is entered into the register of members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Nasdaq, 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30"/>
        <w:gridCol w:w="46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Shares are to be transferred does not exceed four;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one month after the date on which the instrument of transfer was lodged, to send to each of the transferor and the transferee notice of such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prior notice being given by advertisement in such one or more newspapers or by electronic means, be suspended and our register of members closed at such times and for such periods as our board of directors may from time to time determine. The registration of transfers, however, may not be suspended, and the register of members may not be closed, for more than 30 calendar days in any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Cayman Companies Act to inspect or obtain copies of our register of members or our corporate records (other than the memorandum and articles of association, any special resolutions passed by such companies, the registers of mortgages and charges of such companies and a list of current directors of such companies). Under Cayman Islands law, the names of our current directors can be obtained from a search conducted at the Registrar of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Companies Act to call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one-third (1/3) of the rights to vote at such general meeting in accordance with the notice provisions in the articles,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7 calendar days’ notice of general meetings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with the consent of the shareholders who, individually or collectively, hold at least two-thirds (2/3rd) of the voting rights of all those who have a right to vote in the case of an extraordinary general meeting, and by all the shareholders in the case of an annual general meeting, a general meeting may be convened on shorter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or to such other time or place as is determined by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seven days or more, notice of the adjourned meeting shall be given in accordance with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is (before, or on, the declaration of the result of the show of hands) demanded by the chairman of the meeting or by at least two shareholders having the right to vote on the resolutions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the result of the poll shall be deemed to be the resolution of the meeting at which the poll was demanded.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Amended and Restated Memorandum and Articles of Association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95"/>
        <w:gridCol w:w="728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95"/>
        <w:gridCol w:w="495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95"/>
        <w:gridCol w:w="40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95"/>
        <w:gridCol w:w="288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shares with no par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95"/>
        <w:gridCol w:w="834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95"/>
        <w:gridCol w:w="39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95"/>
        <w:gridCol w:w="389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Ordinary Shares is Transhare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Nasdaq under the symbol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shareholders by ordinary resolution, the directors shall be entitled to such remuneration as the directors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our shareholders by ordinary resolution and unless and until so fixed no share qualification shall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removed or re-appointed, each director shall be appointed for a term expiring at the next-following annual general meeting, if one is held. At any annual general meeting held, our directors will be elected by an ordinary resolution of our shareholders. At each annual general meeting, each director so elected shall hold office until the expiration of his or her term or until the election of their respective successors in office or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or retire from office by giving us notice in writing. Unless the notice specifies a different date, the director shall be deemed to have resigned on the date that the notice is delivered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230"/>
        <w:gridCol w:w="65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is prohibited by the laws of the Cayman Islands from acting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245"/>
        <w:gridCol w:w="79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is made bankrupt or makes an arrangement or composition with his/her creditors generally;</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230"/>
        <w:gridCol w:w="35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resigns his/her office by notice to us;</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only held office as a director for a fixed term and such term expires;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opinion of a registered medical practitioner by whom he/she is being treated he becomes physically or mentally incapable of acting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200"/>
        <w:gridCol w:w="44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He/she is removed from office pursuant to the articles;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245"/>
        <w:gridCol w:w="9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is made subject to any law relating to mental health or incompetence, whether by court order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45"/>
        <w:gridCol w:w="94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the consent of the other directors, he/she is absent from meetings of directors for three consecutive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Amended and Restated Memorandum and Articles of Association, our business shall be managed by the directors, who may exercise all our powers. No prior act of the directors shall be invalidated by any subsequent alteration of our memorandum or articles of association. To the extent allowed by the Cayman Companies Act, however, shareholders may by special resolution validate any prior or future act of the directors which would otherwise be in breach of their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Our board of directors has established an audit committee, compensation committee, and nomination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remove any person so appointed and may revoke or vary the delegation.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as a director, vote in respect of any contract, transaction, arrangement or proposal in which he has an interest which (together with any interest of any person connected with him) is a material interest (otherwise than by virtue of his interests, direct or indirect, in shares or debentures or other securities of, or otherwise in or through, us) and if he shall do so his vote shall not be counted, nor in relation thereto shall he be counted in the quorum present at the meeting, but (in the absence of some other material interest than is mentioned below) none of these prohibitions shall apply to:</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230"/>
        <w:gridCol w:w="51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giving of any security, guarantee or indemnity in respect of:</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200"/>
        <w:gridCol w:w="88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money lent or obligations incurred by him or by any other person for our benefit or any of our subsidiaries;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debt or obligation of ours or any of our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we or any of our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percent or more of any class of the equity share capital of such body corporate (or of any third body corporate through which his interest is derived) or of the voting rights available to shareholders of the relevant body corporate;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 or thing done or to be done in respect of any arrangement for the benefit of the employees of us or any of our subsidiaries under which he is not accorded as a director any privilege or advantage not generally accorded to the employees to whom such arrangement relates;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matter connected with the purchase or maintenance for any director of insurance against any liability or (to the extent permitted by the Cayman Companies Act) indemnities in favor of directors, the funding of expenditure by one or more directors in defending proceedings against him or them or the doing of anything to enable such director or directors to avoid incurring such expenditure.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part of our profits not required for paying any preferential dividend (whether or not those profits are available for distribution); or</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245"/>
        <w:gridCol w:w="79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sum standing to the credit of our share premium account or capital redemption reserve,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we must keep a register of members and there should be entered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our shareholders, together with a statement of the shares held by each shareholder, and such statement shall confirm (i) the amount paid or agreed to be considered as paid, on the shares of each shareholder; (ii) the number and category of shares held by each member, and (iii) whether each relevant category of shares held by a member carries voting rights under the articles of association of the company, and if so, whether such voting rights are conditional;</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shareholder; and</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Cayman Companies Act to have legal title to the shares as set against its name in the 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England. In addition, the Cayman Companies Act differs from laws applicable to United States corporations and their shareholders. Set forth below is a summary of certain significant differences between the provisions of the Cayman Companies Act applicable to us and the comparable laws applicable to companies incorporated in the State of Delaware in the United States.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3"/>
        <w:gridCol w:w="60"/>
        <w:gridCol w:w="2728"/>
        <w:gridCol w:w="60"/>
        <w:gridCol w:w="4864"/>
      </w:tblGrid>
      <w:tr>
        <w:trPr/>
        <w:tc>
          <w:tcPr>
            <w:tcW w:w="2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8"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4864"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Cayman Islands</w:t>
            </w:r>
          </w:p>
        </w:tc>
      </w:tr>
      <w:tr>
        <w:trPr/>
        <w:tc>
          <w:tcPr>
            <w:tcW w:w="249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of Organizational Documents</w:t>
            </w:r>
          </w:p>
        </w:tc>
        <w:tc>
          <w:tcPr>
            <w:tcW w:w="60" w:type="dxa"/>
            <w:tcBorders/>
            <w:vAlign w:val="center"/>
          </w:tcPr>
          <w:p>
            <w:pPr>
              <w:pStyle w:val="TableContents"/>
              <w:bidi w:val="0"/>
              <w:spacing w:before="0" w:after="283"/>
              <w:jc w:val="left"/>
              <w:rPr/>
            </w:pPr>
            <w:r>
              <w:rPr/>
              <w:t> </w:t>
            </w:r>
          </w:p>
        </w:tc>
        <w:tc>
          <w:tcPr>
            <w:tcW w:w="27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Bylaws</w:t>
            </w:r>
          </w:p>
        </w:tc>
        <w:tc>
          <w:tcPr>
            <w:tcW w:w="60" w:type="dxa"/>
            <w:tcBorders/>
            <w:vAlign w:val="center"/>
          </w:tcPr>
          <w:p>
            <w:pPr>
              <w:pStyle w:val="TableContents"/>
              <w:bidi w:val="0"/>
              <w:spacing w:before="0" w:after="283"/>
              <w:jc w:val="left"/>
              <w:rPr/>
            </w:pPr>
            <w:r>
              <w:rPr/>
              <w:t> </w:t>
            </w:r>
          </w:p>
        </w:tc>
        <w:tc>
          <w:tcPr>
            <w:tcW w:w="4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0"/>
        <w:gridCol w:w="60"/>
        <w:gridCol w:w="3742"/>
        <w:gridCol w:w="60"/>
        <w:gridCol w:w="5513"/>
      </w:tblGrid>
      <w:tr>
        <w:trPr/>
        <w:tc>
          <w:tcPr>
            <w:tcW w:w="8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Duties of Directors</w:t>
            </w:r>
          </w:p>
        </w:tc>
        <w:tc>
          <w:tcPr>
            <w:tcW w:w="60" w:type="dxa"/>
            <w:tcBorders/>
            <w:vAlign w:val="center"/>
          </w:tcPr>
          <w:p>
            <w:pPr>
              <w:pStyle w:val="TableContents"/>
              <w:bidi w:val="0"/>
              <w:spacing w:before="0" w:after="283"/>
              <w:jc w:val="left"/>
              <w:rPr/>
            </w:pPr>
            <w:r>
              <w:rPr/>
              <w:t> </w:t>
            </w:r>
          </w:p>
        </w:tc>
        <w:tc>
          <w:tcPr>
            <w:tcW w:w="37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left"/>
              <w:rPr/>
            </w:pPr>
            <w:r>
              <w:rPr/>
              <w:t> </w:t>
            </w:r>
          </w:p>
        </w:tc>
        <w:tc>
          <w:tcPr>
            <w:tcW w:w="55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if a duty owed by any of our directors is breached.’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7"/>
        <w:gridCol w:w="60"/>
        <w:gridCol w:w="5094"/>
        <w:gridCol w:w="60"/>
        <w:gridCol w:w="3784"/>
      </w:tblGrid>
      <w:tr>
        <w:trPr/>
        <w:tc>
          <w:tcPr>
            <w:tcW w:w="120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Limitations on Personal Liability of Directors</w:t>
            </w:r>
          </w:p>
        </w:tc>
        <w:tc>
          <w:tcPr>
            <w:tcW w:w="60" w:type="dxa"/>
            <w:tcBorders/>
            <w:vAlign w:val="center"/>
          </w:tcPr>
          <w:p>
            <w:pPr>
              <w:pStyle w:val="TableContents"/>
              <w:bidi w:val="0"/>
              <w:spacing w:before="0" w:after="283"/>
              <w:jc w:val="left"/>
              <w:rPr/>
            </w:pPr>
            <w:r>
              <w:rPr/>
              <w:t> </w:t>
            </w:r>
          </w:p>
        </w:tc>
        <w:tc>
          <w:tcPr>
            <w:tcW w:w="50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left"/>
              <w:rPr/>
            </w:pPr>
            <w:r>
              <w:rPr/>
              <w:t> </w:t>
            </w:r>
          </w:p>
        </w:tc>
        <w:tc>
          <w:tcPr>
            <w:tcW w:w="37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1"/>
        <w:gridCol w:w="60"/>
        <w:gridCol w:w="2613"/>
        <w:gridCol w:w="60"/>
        <w:gridCol w:w="5961"/>
      </w:tblGrid>
      <w:tr>
        <w:trPr/>
        <w:tc>
          <w:tcPr>
            <w:tcW w:w="151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2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left"/>
              <w:rPr/>
            </w:pPr>
            <w:r>
              <w:rPr/>
              <w:t> </w:t>
            </w:r>
          </w:p>
        </w:tc>
        <w:tc>
          <w:tcPr>
            <w:tcW w:w="596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9"/>
        <w:gridCol w:w="60"/>
        <w:gridCol w:w="7278"/>
        <w:gridCol w:w="60"/>
        <w:gridCol w:w="1888"/>
      </w:tblGrid>
      <w:tr>
        <w:trPr/>
        <w:tc>
          <w:tcPr>
            <w:tcW w:w="91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Interested Directors</w:t>
            </w:r>
          </w:p>
        </w:tc>
        <w:tc>
          <w:tcPr>
            <w:tcW w:w="60" w:type="dxa"/>
            <w:tcBorders/>
            <w:vAlign w:val="center"/>
          </w:tcPr>
          <w:p>
            <w:pPr>
              <w:pStyle w:val="TableContents"/>
              <w:bidi w:val="0"/>
              <w:spacing w:before="0" w:after="283"/>
              <w:jc w:val="left"/>
              <w:rPr/>
            </w:pPr>
            <w:r>
              <w:rPr/>
              <w:t> </w:t>
            </w:r>
          </w:p>
        </w:tc>
        <w:tc>
          <w:tcPr>
            <w:tcW w:w="7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left"/>
              <w:rPr/>
            </w:pPr>
            <w:r>
              <w:rPr/>
              <w:t> </w:t>
            </w:r>
          </w:p>
        </w:tc>
        <w:tc>
          <w:tcPr>
            <w:tcW w:w="1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Interested director transactions are governed by the terms of a company’s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2716"/>
        <w:gridCol w:w="60"/>
        <w:gridCol w:w="6151"/>
      </w:tblGrid>
      <w:tr>
        <w:trPr/>
        <w:tc>
          <w:tcPr>
            <w:tcW w:w="121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Voting Requirements</w:t>
            </w:r>
          </w:p>
        </w:tc>
        <w:tc>
          <w:tcPr>
            <w:tcW w:w="60" w:type="dxa"/>
            <w:tcBorders/>
            <w:vAlign w:val="center"/>
          </w:tcPr>
          <w:p>
            <w:pPr>
              <w:pStyle w:val="TableContents"/>
              <w:bidi w:val="0"/>
              <w:spacing w:before="0" w:after="283"/>
              <w:jc w:val="left"/>
              <w:rPr/>
            </w:pPr>
            <w:r>
              <w:rPr/>
              <w:t> </w:t>
            </w:r>
          </w:p>
        </w:tc>
        <w:tc>
          <w:tcPr>
            <w:tcW w:w="27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left"/>
              <w:rPr/>
            </w:pPr>
            <w:r>
              <w:rPr/>
              <w:t> </w:t>
            </w:r>
          </w:p>
        </w:tc>
        <w:tc>
          <w:tcPr>
            <w:tcW w:w="61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9"/>
        <w:gridCol w:w="60"/>
        <w:gridCol w:w="5446"/>
        <w:gridCol w:w="60"/>
        <w:gridCol w:w="3080"/>
      </w:tblGrid>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Voting for Directors</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defines “special resolutions” only. A company’s memorandum and articles of association can therefore tailor the definition of “ordinary resolutions” as a whole, or with respect to specific provisions.</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 </w:t>
            </w:r>
          </w:p>
        </w:tc>
      </w:tr>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Cumulative Voting</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for the election of directors unless so provided in the memorandum and articles of association.</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 </w:t>
            </w:r>
          </w:p>
        </w:tc>
      </w:tr>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Directors’ Powers Regarding Bylaws</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 of incorporation may grant the directors the power to adopt, amend or repeal bylaws.</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memorandum and articles of association may only be amended by a special resolution of the shareholders.</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 </w:t>
            </w:r>
          </w:p>
        </w:tc>
      </w:tr>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Nomination and Removal of Directors and Filling Vacancies on Board</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Nomination and removal of directors and filling of board vacancies are governed by the terms of the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6"/>
        <w:gridCol w:w="60"/>
        <w:gridCol w:w="3050"/>
        <w:gridCol w:w="60"/>
        <w:gridCol w:w="5799"/>
      </w:tblGrid>
      <w:tr>
        <w:trPr/>
        <w:tc>
          <w:tcPr>
            <w:tcW w:w="123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Mergers and Similar Arrangements</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exchange or sale of all or substantially all the assets of a corporation must be approved by the board of directors and a majority of the outstanding shares entitled to vote thereon. Under Delaware law, a shareholder of a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corporation, by resolution of its board of directors, may merge with any subsidiary, of which it owns at least 90% of each class of capital stock without a vote by shareholders of such subsidiary. Upon any such merger, dissenting shareholders of the subsidiary would have appraisal rights.</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5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there are statutory provisions that facilitate the reconstruction and amalgamation of companies,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(a) the statutory provisions as to the required majority vote have been met; (b) the shareholders have been fairly represented at the meeting in question and the statutory majority are acting bona fide without coercion of the minority to promote interests adverse to those of the class; (c) the arrangement is such that may be reasonably approved by an intelligent and honest man of that class acting in respect of his interest; and (d) the arrangement is not one that would more properly be sanctioned under some other provision of the Cayman Companies Act.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takeover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2"/>
        <w:gridCol w:w="60"/>
        <w:gridCol w:w="2829"/>
        <w:gridCol w:w="60"/>
        <w:gridCol w:w="6174"/>
      </w:tblGrid>
      <w:tr>
        <w:trPr/>
        <w:tc>
          <w:tcPr>
            <w:tcW w:w="108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 Suits</w:t>
            </w:r>
          </w:p>
        </w:tc>
        <w:tc>
          <w:tcPr>
            <w:tcW w:w="60" w:type="dxa"/>
            <w:tcBorders/>
            <w:vAlign w:val="center"/>
          </w:tcPr>
          <w:p>
            <w:pPr>
              <w:pStyle w:val="TableContents"/>
              <w:bidi w:val="0"/>
              <w:spacing w:before="0" w:after="283"/>
              <w:jc w:val="left"/>
              <w:rPr/>
            </w:pPr>
            <w:r>
              <w:rPr/>
              <w:t> </w:t>
            </w:r>
          </w:p>
        </w:tc>
        <w:tc>
          <w:tcPr>
            <w:tcW w:w="28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tc>
        <w:tc>
          <w:tcPr>
            <w:tcW w:w="60" w:type="dxa"/>
            <w:tcBorders/>
            <w:vAlign w:val="center"/>
          </w:tcPr>
          <w:p>
            <w:pPr>
              <w:pStyle w:val="TableContents"/>
              <w:bidi w:val="0"/>
              <w:spacing w:before="0" w:after="283"/>
              <w:jc w:val="left"/>
              <w:rPr/>
            </w:pPr>
            <w:r>
              <w:rPr/>
              <w:t> </w:t>
            </w:r>
          </w:p>
        </w:tc>
        <w:tc>
          <w:tcPr>
            <w:tcW w:w="61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 an act which is illegal or ultra vires with respect to the company and is therefore incapable of ratification by the shareholders; (b) an act which, although not ultra vires, requires authorization by a qualified (or special) majority (that is, more than a simple majority) which has not been obtained; and (c) an act which constitutes a “fraud on the minority” where the wrongdoers are themselves in control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1"/>
        <w:gridCol w:w="60"/>
        <w:gridCol w:w="2371"/>
        <w:gridCol w:w="60"/>
        <w:gridCol w:w="6583"/>
      </w:tblGrid>
      <w:tr>
        <w:trPr/>
        <w:tc>
          <w:tcPr>
            <w:tcW w:w="113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Inspection of Corporate Records</w:t>
            </w:r>
          </w:p>
        </w:tc>
        <w:tc>
          <w:tcPr>
            <w:tcW w:w="60" w:type="dxa"/>
            <w:tcBorders/>
            <w:vAlign w:val="center"/>
          </w:tcPr>
          <w:p>
            <w:pPr>
              <w:pStyle w:val="TableContents"/>
              <w:bidi w:val="0"/>
              <w:spacing w:before="0" w:after="283"/>
              <w:jc w:val="left"/>
              <w:rPr/>
            </w:pPr>
            <w:r>
              <w:rPr/>
              <w:t> </w:t>
            </w:r>
          </w:p>
        </w:tc>
        <w:tc>
          <w:tcPr>
            <w:tcW w:w="2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shareholders of a Delaware corporation have the right during normal business hours to inspect for any proper purpose, and to obtain copies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65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of a Cayman Islands exempted company have no general right under Cayman Islands law to inspect or obtain copies of a list of shareholders or other corporate records (other than the memorandum and articles of association and any special resolutions passed by such companies, and the registers of mortgages and charges of such companies and a list of current directors of such companies) of the company. However, these rights may be provided in the company’s memorandum and articles of association.</w:t>
            </w:r>
          </w:p>
        </w:tc>
      </w:tr>
      <w:tr>
        <w:trPr/>
        <w:tc>
          <w:tcPr>
            <w:tcW w:w="113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 Proposals</w:t>
            </w:r>
          </w:p>
        </w:tc>
        <w:tc>
          <w:tcPr>
            <w:tcW w:w="60" w:type="dxa"/>
            <w:tcBorders/>
            <w:vAlign w:val="center"/>
          </w:tcPr>
          <w:p>
            <w:pPr>
              <w:pStyle w:val="TableContents"/>
              <w:bidi w:val="0"/>
              <w:spacing w:before="0" w:after="283"/>
              <w:jc w:val="left"/>
              <w:rPr/>
            </w:pPr>
            <w:r>
              <w:rPr/>
              <w:t> </w:t>
            </w:r>
          </w:p>
        </w:tc>
        <w:tc>
          <w:tcPr>
            <w:tcW w:w="2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in the corporation’s certificate of incorporation or bylaws, Delaware law does not include a provision restricting the manner in which shareholders may bring business before a meeting.</w:t>
            </w:r>
          </w:p>
        </w:tc>
        <w:tc>
          <w:tcPr>
            <w:tcW w:w="60" w:type="dxa"/>
            <w:tcBorders/>
            <w:vAlign w:val="center"/>
          </w:tcPr>
          <w:p>
            <w:pPr>
              <w:pStyle w:val="TableContents"/>
              <w:bidi w:val="0"/>
              <w:spacing w:before="0" w:after="283"/>
              <w:jc w:val="left"/>
              <w:rPr/>
            </w:pPr>
            <w:r>
              <w:rPr/>
              <w:t> </w:t>
            </w:r>
          </w:p>
        </w:tc>
        <w:tc>
          <w:tcPr>
            <w:tcW w:w="65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provide that general meetings shall be convened on the written requisition of one or more of the shareholders entitled to attend and vote at our general meetings who (together) hold not less than 10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twenty-one clear days’ after the date of receipt of the written requisition, those shareholders who requested the meeting may convene the general meeting themselves within three months after the end of such period of twenty-one clear days in which case reasonable expenses incurred by them as a result of the directors failing to convene a meeting shall be reimbursed by us. Our articles provide no other right to put any proposals before annual general meetings or extraordinary general meetings. As a Cayman Islands exempted company, we are not obligated by law to call shareholders’ annual general meetings. However, our corporate governance guidelines require us to call such meetings every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8"/>
        <w:gridCol w:w="60"/>
        <w:gridCol w:w="4813"/>
        <w:gridCol w:w="60"/>
        <w:gridCol w:w="3734"/>
      </w:tblGrid>
      <w:tr>
        <w:trPr/>
        <w:tc>
          <w:tcPr>
            <w:tcW w:w="153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shareholders to take action by written consent signed by the holders of outstanding shares having not less than the minimum number of votes that would be necessary to authorize or take such action at a meeting of shareholders.</w:t>
            </w:r>
          </w:p>
        </w:tc>
        <w:tc>
          <w:tcPr>
            <w:tcW w:w="60" w:type="dxa"/>
            <w:tcBorders/>
            <w:vAlign w:val="center"/>
          </w:tcPr>
          <w:p>
            <w:pPr>
              <w:pStyle w:val="TableContents"/>
              <w:bidi w:val="0"/>
              <w:spacing w:before="0" w:after="283"/>
              <w:jc w:val="left"/>
              <w:rPr/>
            </w:pPr>
            <w:r>
              <w:rPr/>
              <w:t> </w:t>
            </w:r>
          </w:p>
        </w:tc>
        <w:tc>
          <w:tcPr>
            <w:tcW w:w="37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allows a special resolution to be passed in writing if signed by all the voting shareholders (if authorized by the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6"/>
        <w:gridCol w:w="60"/>
        <w:gridCol w:w="4035"/>
        <w:gridCol w:w="60"/>
        <w:gridCol w:w="4404"/>
      </w:tblGrid>
      <w:tr>
        <w:trPr/>
        <w:tc>
          <w:tcPr>
            <w:tcW w:w="16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Calling of Special Shareholders Meetings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pPr>
            <w:r>
              <w:rPr/>
              <w:t> </w:t>
            </w:r>
          </w:p>
        </w:tc>
        <w:tc>
          <w:tcPr>
            <w:tcW w:w="44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does not have provisions governing the proceedings of shareholders meetings which are usually provided in the memorandum and articles of association. Please see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5"/>
        <w:gridCol w:w="60"/>
        <w:gridCol w:w="3280"/>
        <w:gridCol w:w="60"/>
        <w:gridCol w:w="5600"/>
      </w:tblGrid>
      <w:tr>
        <w:trPr/>
        <w:tc>
          <w:tcPr>
            <w:tcW w:w="12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Restructuring</w:t>
            </w:r>
          </w:p>
        </w:tc>
        <w:tc>
          <w:tcPr>
            <w:tcW w:w="60" w:type="dxa"/>
            <w:tcBorders/>
            <w:vAlign w:val="center"/>
          </w:tcPr>
          <w:p>
            <w:pPr>
              <w:pStyle w:val="TableContents"/>
              <w:bidi w:val="0"/>
              <w:spacing w:before="0" w:after="283"/>
              <w:jc w:val="left"/>
              <w:rPr/>
            </w:pPr>
            <w:r>
              <w:rPr/>
              <w:t> </w:t>
            </w:r>
          </w:p>
        </w:tc>
        <w:tc>
          <w:tcPr>
            <w:tcW w:w="3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or is likely to become unable to pay its debts;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intends to present a compromise or arrangement to its creditors (or classes thereof) either pursuant to the Companies Act, the law of a foreign country or by way of a consensual restructuring.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ableContents"/>
              <w:bidi w:val="0"/>
              <w:spacing w:before="0" w:after="0"/>
              <w:ind w:left="0" w:right="0" w:firstLine="45"/>
              <w:jc w:val="both"/>
              <w:rPr>
                <w:caps w:val="false"/>
                <w:smallCaps w:val="false"/>
              </w:rPr>
            </w:pPr>
            <w:r>
              <w:rPr>
                <w:caps w:val="false"/>
                <w:smallCaps w:val="false"/>
              </w:rPr>
              <w:t> </w:t>
            </w:r>
          </w:p>
        </w:tc>
      </w:tr>
      <w:tr>
        <w:trPr/>
        <w:tc>
          <w:tcPr>
            <w:tcW w:w="12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Dissolution; Winding Up</w:t>
            </w:r>
          </w:p>
        </w:tc>
        <w:tc>
          <w:tcPr>
            <w:tcW w:w="60" w:type="dxa"/>
            <w:tcBorders/>
            <w:vAlign w:val="center"/>
          </w:tcPr>
          <w:p>
            <w:pPr>
              <w:pStyle w:val="TableContents"/>
              <w:bidi w:val="0"/>
              <w:spacing w:before="0" w:after="283"/>
              <w:jc w:val="left"/>
              <w:rPr/>
            </w:pPr>
            <w:r>
              <w:rPr/>
              <w:t> </w:t>
            </w:r>
          </w:p>
        </w:tc>
        <w:tc>
          <w:tcPr>
            <w:tcW w:w="3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Cayman Companies Act and our articles, the Company may be wound up by a special resolution of our shareholders, or if the winding up is initiated by our board of directors, by either a special resolution of our members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may be required to adopt and maintain anti-money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Law (Revised) of the Cayman Islands) or the Financial Reporting Authority of the Cayman Islands, pursuant to the Proceeds of Crime Act (As Revised), if the disclosure relates to criminal conduct or money laundering or (ii) to a police constable or a nominated officer (pursuant to the Terrorism Act (As Revised) of the Cayman Islands) or the Financial Reporting Authority, pursuant to the Terrorism Act (As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expressly indicated herein to the contrary, the share and pricing information under “History of Share Capital” reflects the actual share and pricing information at the time of the events in chronological order, without taking retroactive effect of subsequent share consolidations.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the Cayman Islands as an exempted company with limited liability on December 4, 2018. We have issued the following Ordinary Shares to certain founding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21"/>
        <w:gridCol w:w="60"/>
        <w:gridCol w:w="1404"/>
        <w:gridCol w:w="60"/>
        <w:gridCol w:w="3550"/>
        <w:gridCol w:w="60"/>
        <w:gridCol w:w="2350"/>
      </w:tblGrid>
      <w:tr>
        <w:trPr/>
        <w:tc>
          <w:tcPr>
            <w:tcW w:w="2721"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Issuance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Rui Tai BVI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4,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US$0.33</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Deng Guan BVI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4, 2018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US$0.23</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PBCY Investment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4,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US$0.30</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EJAM BVI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4, 2018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US$0.10</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Everlasting Innovation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4, 2018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US$0.04</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Etone Investment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HK$14 million (US$1,797,731)</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Rui Tai BVI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6,599,340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US$3,299.67</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Deng Guan BVI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4,599,540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US$2,299.77</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PBCY Investment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5,999,400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US$2,999.70</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EJAM BVI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1,999,800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US$999.90</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Everlasting Innovation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799,920 Ordinary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US$399.96</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Etone Investment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399,960 Ordinary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US$199.98</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Orient Plus International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18, 2021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784,314 Ordinary Shares and 784,314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US$4,000,000</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Union Hi-Tech Development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18, 2021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1,176,470 Ordinary Shares and 1,176,470 Warrants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US$6,000,000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2020, our shareholders and board of directors approved (i) a forward split of our outstanding Ordinary Shares at a ratio of 20-for-1 share, and (ii) an increase in our authorized shares to 100 million Ordinary Shares. Unless otherwise indicated, all references to Ordinary Shares, options to purchase Ordinary Shares, share data, per share data, and related information have been retroactively adjusted, where applicable, in this prospectus to reflect the forward split of our Ordinary Shares as if it had occurred at the beginning of the earlier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2020, we issued 6,599,340 Ordinary Shares to An Rui Tai BVI for a consideration of $3,299.67, 4,599,540 Ordinary Shares to Deng Guan BVI for a consideration of $2,299.77, 5,999,400 Ordinary Shares to PBCY Investment for a consideration of $2,999.70, 1,999,800 Ordinary Shares to EJAM BVI for a consideration of $999.90, 799,920 Ordinary Shares to Everlasting Innovation for a consideration of $399.96, and 399.960 Ordinary Shares to Etone Investment for a consideration of $199.98.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2021, pursuant to a Securities Purchase Agreement dated March 17, 2021, we issued 784,314 Ordinary Shares and 784,314 Warrants for a consideration of $4,000,000 to Orient Plus International Limited, and 1,176,470 Ordinary Shares and 1,176,470 Warrants for a consideration of $6,000,000 to Union Hi-Tech Development Limited. One Warrant included the right to purchase one half of one Ordinary Share at an exercise price of $5.61 per Ordinary Share. A Warrant may be exercised at any time on or after March 18, 2021 and on or prior to 5:00 p.m. (New York City time) on September 18, 2026 but not thereafter. Giving effect to a share consolidation at a ratio of one-for-three and one fifth (3.2) ordinary shares effective on May 24, 2022 and a share consolidation at a ratio of one-for-six (6) ordinary shares effective on March 21, 2023, the 1,960,784 Warrants were consolidated to 112,610 Warrants with each to purchase one half of one ordinary share at an exercise price of $107.71 per ordinary share. The holders of Warrants are granted with registration rights. If at any time after the six-month anniversary of March 18, 2021, there is no effective registration statement registering, or no current prospectus available for the issuance of the warrant shares to the holder and the resale of the warrant shares, then the Warrants may also be exercised, in whole or in part, at such time by means of “cashless exercise”. The Warrants are subject to adjustments in the event of 1) stock dividends and splits, 2) subsequent right offerings, 3) pro rata dilutions and 4) fundamental transactions. No fractional shares or scrip representing fractional shares shall be issued upon the exercise of the Warrants. As of the date of this prospectus, no Warrants have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March 18, 2021, our authorized share capital consisted of $50,000 divided into 100,000,000 Ordinary Shares, par value $0.0005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2022, we held an annual general meeting of shareholders, during which the shareholders approved a proposal to effect a share consolidation of the Company’s 100,000,000 ordinary shares, par value US$0.0005 per share, in the Company’s issued and unissued share capital at a ratio of one-for-three and one fifth such that each 3.2 ordinary shares were combined into one ordinary share of the Company with a par value of US$0.0016. As a result of such share consolidation effective on May 24, 2022, our authorized share capital was US$50,000 divided into 31,250,000 ordinary shares of par value of US$0.0016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2023, we held an annual general meeting of shareholders, during which the shareholders approved the proposals: (i) to approve an increase of authorized share capital of the Company from US$50,000 divided into 31,250,000 ordinary shares of a par value US$0.0016 each to US$60,000 divided into 37,500,000 ordinary shares of a par value US$0.0016 each; and (ii) to effect a share consolidation of each six ordinary shares with par value of US$0.0016 each in our issued and unissued share capital into one ordinary share with par value of US$0.0096 each. Such share consolidation became effective on March 21, 2023, and the ordinary shares began trading on a post-share consolidation basis on the Nasdaq Capital Market when the market opened on March 22, 2023 under the same symbol “BAOS” but under a new CUSIP number of G08908 124. Immediately following the share consolidation, the authorized share capital of the Company became US$60,000.00 divided into 6,250,000 ordinary shares of par value of US$0.0096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i_011"/>
      <w:bookmarkEnd w:id="27"/>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our Ordinary Shares either alone or underlying other securities convertible into or exercisable or exchangeable for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are entitled to certain rights and subject to certain conditions as set forth in our amended and restated memorandum and articles of association and the Companies Act. See “Description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i_012"/>
      <w:bookmarkEnd w:id="28"/>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which may or may not be converted into our Ordinary Shares. We may issue the debt securities independently or together with any underlying securities, and debt securities may be attached or separate from the underlying securities. In connection with the issuance of any debt securities, we do not intend to issue them pursuant to a trust indenture upon reliance of Section 304(a)(8) of the Trust Indenture Act and Rule 4a-1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Documents by Reference” below for information on how to obtain a copy of a debt securities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debt securities, we mean all debt securities issued as part of the same series under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debt securities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of the debt securities;</w:t>
            </w:r>
          </w:p>
        </w:tc>
      </w:tr>
      <w:tr>
        <w:trPr/>
        <w:tc>
          <w:tcPr>
            <w:tcW w:w="555" w:type="dxa"/>
            <w:tcBorders/>
            <w:vAlign w:val="center"/>
          </w:tcPr>
          <w:p>
            <w:pPr>
              <w:pStyle w:val="TableContents"/>
              <w:bidi w:val="0"/>
              <w:spacing w:before="0" w:after="283"/>
              <w:ind w:left="0" w:right="0" w:firstLine="450"/>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total amount of the debt securities;</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amount or amounts of the debt securities will be issued and interest rate;</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conversion price at which the debt securities may be converted;</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on which the right to convert the debt securities will commence and the date on which the right will expire;</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minimum or maximum amount of debt securities that may be converted at any one time;</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a discussion of material federal income tax consideration;</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terms of the payoff of the debt securities;</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identity of the indenture agent, if any;</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procedures and conditions relating to the conversion of the debt securities; and</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5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terms of the debt securities, including terms, procedure and limitation relating to the exchange or conversion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or bearer form. Debt securities issued in registered form, i.e., book-entry form,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of their debt securities, holders of debt securities convertible for Ordinary Shares will not have any rights of holders of Ordinary Shares, and will not be entitled to dividend payments, if any, or voting rights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i_013"/>
      <w:bookmarkEnd w:id="29"/>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Documents by Reference” below for information on how to obtain a copy of a warrant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warrants, we mean all warrants issued as part of the same series under the applicable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555"/>
        <w:gridCol w:w="260"/>
        <w:gridCol w:w="593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warrants;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warrants;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will be issued;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may be exercised;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593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that investors may use to pay for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will commence and the date on which the right will expire;</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warrants will be issued in registered form or bearer form;</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warrants that may be exercised at any one time;</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underlying securities with which the warrants are issued and the number of warrants issued with each underlying security;</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the warrants and the related underlying securities will be separately transferable;</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material federal income tax considerations;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terms of redemption of the warrants;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identity of the warrant agent, if any;</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and conditions relating to the exercise of the warrants; and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exercisable for Ordinary Shares will not have any rights of holders of Ordinary Shares and will not be entitled to dividend payments, if any, or voting rights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i_014"/>
      <w:bookmarkEnd w:id="30"/>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which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amount of securities purchasable upon exercise of the rights;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federal income tax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i_015"/>
      <w:bookmarkEnd w:id="31"/>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securities.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“Where You Can Find Additional Information” and “Incorporation of Documents by Reference” below for information on how to obtain a copy of a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composing the units;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 and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“Description of Share Capital,” “Description of Ordinary Shares,” “Description of Debt Securities,” “Description of Warrants,” and “Description of Rights” above, will apply to each unit and to each security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2" w:name="i_016"/>
      <w:bookmarkEnd w:id="32"/>
      <w:r>
        <w:rPr>
          <w:rFonts w:ascii="Times New Roman;Times;Serif" w:hAnsi="Times New Roman;Times;Serif"/>
          <w:b/>
          <w:i w:val="false"/>
          <w:caps/>
          <w:sz w:val="20"/>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 part covers the resale of up to an aggregate of 447,917 Ordinary Shares. We will not receive any of the proceeds from the sale of Ordinary Shares by the Selling Shareholders. Except as disclosed herein, the Selling Shareholder have not had any material relationship with us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the name and position or positions with the Company of each Selling Shareholder; (b) the aggregate of (i) the number of Ordinary Shares held by each Selling Shareholder as of the date of this prospectus, and (ii) the number of shares issuable upon the exercise of the warrants held by such Selling Shareholder that are being registered pursuant to this Registration Statement for resale by each Selling Shareholder as of the date of this prospectus; (c) the number of Ordinary Shares that each Selling Shareholder may offer for sale from time to time pursuant to this prospectus, whether or not such Selling Shareholder has a present intention to do so; and (d) the number of Ordinary Shares to be beneficially owned by each Selling Shareholder following the sale of all shares that may be so offered pursuant to this prospectus, assuming no other change in ownership of Ordinary Shares by such Selling Shareholder after the date of this prospectus. Unless otherwise indicated, beneficial ownership is direct and the person indicated has sole voting and investment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Inclusion of an individual’s name in the table below does not constitute an admission that such individual is an “affiliate” of the Company.</w:t>
      </w:r>
    </w:p>
    <w:p>
      <w:pPr>
        <w:pStyle w:val="TextBody"/>
        <w:bidi w:val="0"/>
        <w:spacing w:before="0" w:after="0"/>
        <w:ind w:left="0" w:right="0" w:hanging="0"/>
        <w:jc w:val="left"/>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1790"/>
        <w:gridCol w:w="60"/>
        <w:gridCol w:w="60"/>
        <w:gridCol w:w="695"/>
        <w:gridCol w:w="60"/>
        <w:gridCol w:w="60"/>
        <w:gridCol w:w="73"/>
        <w:gridCol w:w="592"/>
        <w:gridCol w:w="185"/>
        <w:gridCol w:w="60"/>
        <w:gridCol w:w="73"/>
        <w:gridCol w:w="846"/>
        <w:gridCol w:w="60"/>
        <w:gridCol w:w="60"/>
        <w:gridCol w:w="151"/>
        <w:gridCol w:w="1749"/>
        <w:gridCol w:w="151"/>
        <w:gridCol w:w="151"/>
        <w:gridCol w:w="151"/>
        <w:gridCol w:w="1221"/>
        <w:gridCol w:w="200"/>
      </w:tblGrid>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Owned</w:t>
              <w:br/>
              <w:t>Prior to</w:t>
              <w:br/>
              <w:t>Resale</w:t>
            </w:r>
            <w:r>
              <w:rPr>
                <w:rFonts w:ascii="Times New Roman;Times;Serif" w:hAnsi="Times New Roman;Times;Serif"/>
                <w:b/>
                <w:i w:val="false"/>
                <w:caps w:val="false"/>
                <w:smallCaps w:val="false"/>
                <w:position w:val="7"/>
                <w:sz w:val="16"/>
                <w:sz w:val="20"/>
              </w:rPr>
              <w:t>(1)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br/>
              <w:t>Offered</w:t>
              <w:br/>
              <w:t>for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7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 After Resale</w:t>
            </w:r>
            <w:r>
              <w:rPr>
                <w:rFonts w:ascii="Times New Roman;Times;Serif" w:hAnsi="Times New Roman;Times;Serif"/>
                <w:b/>
                <w:i w:val="false"/>
                <w:caps w:val="false"/>
                <w:smallCaps w:val="false"/>
                <w:position w:val="7"/>
                <w:sz w:val="16"/>
                <w:sz w:val="20"/>
              </w:rPr>
              <w:t>(1)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13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Rui Tai BVI</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171,875</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Deng Guan BVI</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97,397</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PBCY Investment</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156,250</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is computed with reference to 1,534,487 Ordinary Shares issued as of September 13, 2023 and assumes for each Selling Shareholder the sale of all shares offered by that particular Selling Shareholder under this prospectus. In computing the percentage ownership of each Selling Shareholder, shares that such Selling Shareholder has the right to acquire within 60 days, including through the exercise of any option, warrant, or other right or the conversion of any other security, after the date of this prospectus, are included.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number of Ordinary Shares beneficially owned by An Rui Tai BVI, a business company incorporated under the laws of the BVI, which is owned as to 90% by Ms. Wenxiu Zhong and 10% by Mr. Sheng Gong. The registered address of An Rui Tai BVI is Craigmuir Chambers, Road Town, Tortola, HW 1110,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number of Ordinary Shares beneficially owned by Deng Guan BVI, a business company incorporated under the laws of the BVI and is wholly owned by Mr. Hui Yu. The registered address of Deng Guan BVI is Craigmuir Chambers, Road Town, Tortola HW 1110,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number of Ordinary Shares beneficially owned by PBCY Investment, a business company incorporated under the laws of the BVI and is owned as to 86.35% by Pubang Landscape through Pubang Hong Kong and 13.65% by CYY Holdings. The registered address of PBCY Investment is Craigmuir Chambers, Road Town, Tortola HW 1110, British Virgin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supplement this prospectus from time to time as required by the rules of the SEC to include certain information concerning the security ownership of the Selling Shareholders or any new Selling Shareholders, the number of securities offered for resale and the position, office, or other material relationship which a Selling Shareholder has had within the past three years with the Company or any of its predecessors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i_017"/>
      <w:bookmarkEnd w:id="3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of the prospectus, the term “Selling Shareholders” means and includes: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persons identified in the table above as the Selling Shareholders;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the donees, pledgees, distributees, transferees, or other successors in interest of those persons referenced above who may: (a) receive any of the Ordinary Shares offered hereby after the date of this prospectus and (b) offer or sell those shares 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 securities offered by this prospectus from time to time in one or more transactions,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or through underwriters;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broker-dealers (acting as agent or principal);</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to purchasers (including our affiliates and shareholders), through a specific bidding or auction process, a rights offering, or other method;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such methods of sale; or</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any other methods described in a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
        <w:gridCol w:w="260"/>
        <w:gridCol w:w="9390"/>
      </w:tblGrid>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transactions (which may involve crosses) and transactions on Nasdaq or any other organized market where the securities may be traded;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own account pursuant to a prospectus supplement;</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a broker-dealer solicits purchasers;</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“at the market” to or through a market maker or into an existing trading market, on an exchange or otherwise; and</w:t>
            </w:r>
          </w:p>
        </w:tc>
      </w:tr>
      <w:tr>
        <w:trPr/>
        <w:tc>
          <w:tcPr>
            <w:tcW w:w="555" w:type="dxa"/>
            <w:tcBorders/>
            <w:vAlign w:val="center"/>
          </w:tcPr>
          <w:p>
            <w:pPr>
              <w:pStyle w:val="TableContents"/>
              <w:bidi w:val="0"/>
              <w:spacing w:before="0" w:after="283"/>
              <w:ind w:left="0" w:right="0" w:firstLine="450"/>
              <w:jc w:val="both"/>
              <w:rPr/>
            </w:pPr>
            <w:r>
              <w:rPr/>
              <w:t> </w:t>
            </w:r>
          </w:p>
        </w:tc>
        <w:tc>
          <w:tcPr>
            <w:tcW w:w="260" w:type="dxa"/>
            <w:tcBorders/>
            <w:vAlign w:val="center"/>
          </w:tcPr>
          <w:p>
            <w:pPr>
              <w:pStyle w:val="TableContents"/>
              <w:bidi w:val="0"/>
              <w:spacing w:before="0" w:after="283"/>
              <w:jc w:val="both"/>
              <w:rPr/>
            </w:pPr>
            <w:r>
              <w:rPr/>
              <w:t> </w:t>
            </w:r>
          </w:p>
        </w:tc>
        <w:tc>
          <w:tcPr>
            <w:tcW w:w="9390" w:type="dxa"/>
            <w:tcBorders/>
            <w:vAlign w:val="center"/>
          </w:tcPr>
          <w:p>
            <w:pPr>
              <w:pStyle w:val="TableContents"/>
              <w:bidi w:val="0"/>
              <w:spacing w:before="0" w:after="283"/>
              <w:jc w:val="both"/>
              <w:rPr/>
            </w:pPr>
            <w:r>
              <w:rPr/>
              <w:t> </w:t>
            </w:r>
          </w:p>
        </w:tc>
      </w:tr>
      <w:tr>
        <w:trPr/>
        <w:tc>
          <w:tcPr>
            <w:tcW w:w="55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w:t>
            </w:r>
          </w:p>
        </w:tc>
        <w:tc>
          <w:tcPr>
            <w:tcW w:w="9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in other ways not involving market makers or established trading markets, including direct sales to purchasers.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affect the marketability of our securities and the ability of any person or entity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certain state securities or blue sky laws and regulations, if applicable, the securities offered hereby will be sold in such jurisdictions only through registered or licensed brokers or dealers. In certain states, the securities may not be sold unless they are registered or qualified for sale in such state, or unless an exemption from registration or qualification is available and is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have advised us that they have not entered into any agreements, understandings, or arrangements with any underwriters or broker-dealers regarding the sale of their securities. There is no underwriter or coordinating broker acting in connection with the proposed sale of Ordinary Shares by the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Ordinary Shares offered hereby. The Selling Shareholders, however, will bear any brokerage or underwriting commissions and similar selling expenses, if any, attributable to the sale of the Ordinary Shares offered pursuant to this prospectus. We have agreed to indemnify the Selling Shareholders against certain liabilities, including liabilities under the Securities Act, or to contribute to payments to which any of those security holders may be required to make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Shareholders will sell any or all of the securities offered by them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i_018"/>
      <w:bookmarkEnd w:id="34"/>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Information—E. Taxation” in our annual report on Form 20-F for the year ended December 31, 2022,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i_019"/>
      <w:bookmarkEnd w:id="35"/>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expenses in connection with this offering, all of which will be paid by us. All amounts shown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3680"/>
        <w:gridCol w:w="60"/>
        <w:gridCol w:w="125"/>
        <w:gridCol w:w="845"/>
        <w:gridCol w:w="75"/>
      </w:tblGrid>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11,415.13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Industry Regulatory Authority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16,037.84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provided by a prospectus supplement or as an exhibit to a report of foreign private issuer on Form 6-K that is incorporated by reference into this registration statement. Estimated solely for this item. Actual expenses may vary.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i_020"/>
      <w:bookmarkEnd w:id="36"/>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“Incorporation of Documents by Reference”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i_021"/>
      <w:bookmarkEnd w:id="37"/>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our annual report on Form 20-F for the fiscal year ended December 31, 2022, in our reports of foreign issuer on Form 6-K filed or submitted under the Exchange Act and incorporated by reference herein, and as disclosed in this prospectus or the applicable prospectus supplement, no reportable material changes have occurred since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i_022"/>
      <w:bookmarkEnd w:id="3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Hunter Taubman Fischer&amp; Li LLC with respect to certain legal matters as to United States federal securities and New York State law. The validity of the securities offered in this offering and certain other legal matters as to Cayman Islands law are passed upon for us by Maples and Calder (Hong Kong) LLP, our counsel as to Cayman Islands law. Legal matters as to PRC law are passed upon for us by Beijing Dacheng Law Offices, LLP.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i_023"/>
      <w:bookmarkEnd w:id="39"/>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for the fiscal year ended December 31, 2022 have been audited by YCM CPA INC., an independent registered public accounting firm, as set forth in their report thereon included therein, and incorporated herein by reference, and are included in reliance upon such report given on the authority of such firm as experts in accounting and auditing. The office of YCM CPA INC. is located at 2400 Barranca Pkwy, Suite 300, Irvine,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for the fiscal years ended December 31, 2020 and 2021 have been audited by Friedman LLP, an independent registered public accounting firm, as set forth in their report thereon included therein, and incorporated herein by reference, and are included in reliance upon such report given on the authority of such firm as experts in accounting and auditing. Friedman LLP was merged with Marcum LLP on September 1, 2022 and filed its application to withdraw the PCAOB registration on December 30, 2022. The office of Friedman LLP was located at One Liberty Plaza, 165 Broadway 21st Floor, New York, NY 10006.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i_024"/>
      <w:bookmarkEnd w:id="40"/>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245"/>
        <w:gridCol w:w="91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hyperlink r:id="rId14">
              <w:r>
                <w:rPr>
                  <w:rStyle w:val="InternetLink"/>
                  <w:sz w:val="20"/>
                </w:rPr>
                <w:t>(1)</w:t>
              </w:r>
            </w:hyperlink>
          </w:p>
        </w:tc>
        <w:tc>
          <w:tcPr>
            <w:tcW w:w="9140" w:type="dxa"/>
            <w:tcBorders/>
            <w:vAlign w:val="center"/>
          </w:tcPr>
          <w:p>
            <w:pPr>
              <w:pStyle w:val="TableContents"/>
              <w:bidi w:val="0"/>
              <w:spacing w:before="0" w:after="283"/>
              <w:jc w:val="both"/>
              <w:rPr/>
            </w:pPr>
            <w:hyperlink r:id="rId15">
              <w:r>
                <w:rPr>
                  <w:rStyle w:val="InternetLink"/>
                  <w:sz w:val="20"/>
                </w:rPr>
                <w:t>our annual report on Form 20-F for the fiscal year ended December 31, 2022, filed with the SEC on May 8,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hyperlink r:id="rId16">
              <w:r>
                <w:rPr>
                  <w:rStyle w:val="InternetLink"/>
                  <w:sz w:val="20"/>
                </w:rPr>
                <w:t>(2)</w:t>
              </w:r>
            </w:hyperlink>
          </w:p>
        </w:tc>
        <w:tc>
          <w:tcPr>
            <w:tcW w:w="9898" w:type="dxa"/>
            <w:tcBorders/>
            <w:vAlign w:val="center"/>
          </w:tcPr>
          <w:p>
            <w:pPr>
              <w:pStyle w:val="TableContents"/>
              <w:bidi w:val="0"/>
              <w:spacing w:before="0" w:after="283"/>
              <w:jc w:val="both"/>
              <w:rPr/>
            </w:pPr>
            <w:hyperlink r:id="rId17">
              <w:r>
                <w:rPr>
                  <w:rStyle w:val="InternetLink"/>
                  <w:sz w:val="20"/>
                </w:rPr>
                <w:t>our unaudited consolidated interim financial statements for the six months ended June 30, 2022 on Form 6-K, filed with the SEC on October 14, 2022;</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hyperlink r:id="rId18">
              <w:r>
                <w:rPr>
                  <w:rStyle w:val="InternetLink"/>
                  <w:sz w:val="20"/>
                </w:rPr>
                <w:t>(3)</w:t>
              </w:r>
            </w:hyperlink>
          </w:p>
        </w:tc>
        <w:tc>
          <w:tcPr>
            <w:tcW w:w="9912" w:type="dxa"/>
            <w:tcBorders/>
            <w:vAlign w:val="center"/>
          </w:tcPr>
          <w:p>
            <w:pPr>
              <w:pStyle w:val="TableContents"/>
              <w:bidi w:val="0"/>
              <w:spacing w:before="0" w:after="283"/>
              <w:jc w:val="both"/>
              <w:rPr/>
            </w:pPr>
            <w:hyperlink r:id="rId19">
              <w:r>
                <w:rPr>
                  <w:rStyle w:val="InternetLink"/>
                  <w:sz w:val="20"/>
                </w:rPr>
                <w:t>the description of our Ordinary Shares contained in our registration statement on Form 8-A, filed with the SEC on February 1, 2021, and any amendment or report filed for the purpose of updating such description;</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20"/>
              </w:rPr>
            </w:pPr>
            <w:r>
              <w:rPr>
                <w:sz w:val="20"/>
              </w:rPr>
              <w:t>(4)</w:t>
            </w:r>
          </w:p>
        </w:tc>
        <w:tc>
          <w:tcPr>
            <w:tcW w:w="9906" w:type="dxa"/>
            <w:tcBorders/>
            <w:vAlign w:val="center"/>
          </w:tcPr>
          <w:p>
            <w:pPr>
              <w:pStyle w:val="TableContents"/>
              <w:bidi w:val="0"/>
              <w:spacing w:before="0" w:after="283"/>
              <w:jc w:val="both"/>
              <w:rPr>
                <w:sz w:val="20"/>
              </w:rPr>
            </w:pPr>
            <w:r>
              <w:rPr>
                <w:sz w:val="20"/>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on Form 20-F for the fiscal year ended December 31, 2022 filed with the SEC on May 8, 2023 contains a description of our business and audited consolidated financial statements with a report by our independent auditors. These statements were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 Building No. 8, Xishanhui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+86-010-82088021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1" w:name="i_025"/>
      <w:bookmarkEnd w:id="41"/>
      <w:r>
        <w:rPr>
          <w:rFonts w:ascii="Times New Roman;Times;Serif" w:hAnsi="Times New Roman;Times;Serif"/>
          <w:b/>
          <w:i w:val="false"/>
          <w:caps/>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electronically filed with the SEC can be inspected over the Internet at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i_026"/>
      <w:bookmarkEnd w:id="42"/>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Cayman Islands as an exempted company with limited liability. We incorporated under the laws of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The Cayman Islands, however, has a less developed body of securities laws as compared to the United States and provides significantly less protection for investors than the United States. Additionally, Cayman Islands companies may not have standing to sue in the Federal courts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in the PRC. In addition, all of our directors and officers reside in China, including our chief executive officer and chairperson of the board, Shasha Mi, our chief financial officer, Yue Jin, and our directors, Sheng Gong, Kun Zhang, Guangyao Zhu, and Changhong Jiang,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Puglisi &amp; Associates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our counsel with respect to the laws of the Cayman Islands, and Beijing Dacheng Law Offices, LLP, our counsel with respect to PRC law, have advised us that there is uncertainty as to whether the courts of the Cayman Islands or the PRC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Cayman Islands or the PRC against us or our directors or officers predicated upon the securities laws of the United States or any state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has further advised us that there is currently no statutory enforcement or treaty between the United States and the Cayman Islands providing for enforcement of judgments. A judgment obtained in the United States, however, may be recognized and enforced in the courts of the Cayman Islands at common law, without any re-examination on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Furthermore, it is uncertain that Cayman Islands courts would enforce: (1) judgments of U.S. courts obtained in actions against us or other persons that are predicated upon the civil liability provisions of the U.S. federal securities laws; or (2) original actions brought against us or other persons predicated upon the Securities Act. Maples and Calder (Hong Kong) LLP has informed us that there is uncertainty with regard to Cayman Islands law relating to whether a judgment obtained from the U.S. courts under civil liability provisions of the securities laws will be determined by the courts of the Cayman Islands as penal or punitive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Dacheng Law Offices, LLP, our counsel with respect to PRC laws, has further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reciprocity between jurisdictions. There are no treaties or other forms of reciprocity between China and the United States for the mutual recognition and enforcement of court judgments. Beijing Dacheng Law Offices, LLP has further advised us that under PRC law, PRC courts will not enforce a foreign judgment against us or our officers and directors if the court decides that such judgment violates the basic principles of PRC law or national sovereignty, security or public interest, thus making the recognition and enforcement of a U.S. court judgment in China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43125" cy="857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0"/>
                    <a:stretch>
                      <a:fillRect/>
                    </a:stretch>
                  </pic:blipFill>
                  <pic:spPr bwMode="auto">
                    <a:xfrm>
                      <a:off x="0" y="0"/>
                      <a:ext cx="2143125" cy="857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US$30,000,000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July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811216/000110465926053161/baos-20251231x20f.htm" TargetMode="External"/><Relationship Id="rId5" Type="http://schemas.openxmlformats.org/officeDocument/2006/relationships/hyperlink" Target="https://www.sec.gov/ix?doc=/Archives/edgar/data/1811216/000110465926053161/baos-20251231x20f.htm" TargetMode="External"/><Relationship Id="rId6" Type="http://schemas.openxmlformats.org/officeDocument/2006/relationships/hyperlink" Target="https://www.sec.gov/Archives/edgar/data/1811216/000110465926062917/tm2614879d1_6k.htm" TargetMode="External"/><Relationship Id="rId7" Type="http://schemas.openxmlformats.org/officeDocument/2006/relationships/hyperlink" Target="https://www.sec.gov/Archives/edgar/data/1811216/000110465926070574/tm2616918d1_6k.htm" TargetMode="External"/><Relationship Id="rId8" Type="http://schemas.openxmlformats.org/officeDocument/2006/relationships/hyperlink" Target="https://www.sec.gov/Archives/edgar/data/1811216/000110465926072407/tm2617068d1_6k.htm" TargetMode="External"/><Relationship Id="rId9" Type="http://schemas.openxmlformats.org/officeDocument/2006/relationships/hyperlink" Target="https://www.sec.gov/Archives/edgar/data/1811216/000110465926082289/tm2619932d3_6k.htm" TargetMode="External"/><Relationship Id="rId10" Type="http://schemas.openxmlformats.org/officeDocument/2006/relationships/hyperlink" Target="https://www.sec.gov/Archives/edgar/data/1811216/000110465921010221/tm214907d1_8a12b.htm" TargetMode="External"/><Relationship Id="rId11" Type="http://schemas.openxmlformats.org/officeDocument/2006/relationships/hyperlink" Target="https://www.sec.gov/Archives/edgar/data/1811216/000110465921010221/tm214907d1_8a12b.htm" TargetMode="External"/><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hyperlink" Target="https://www.sec.gov/ix?doc=/Archives/edgar/data/1811216/000141057823000924/baos-20221231x20f.htm" TargetMode="External"/><Relationship Id="rId15" Type="http://schemas.openxmlformats.org/officeDocument/2006/relationships/hyperlink" Target="https://www.sec.gov/ix?doc=/Archives/edgar/data/1811216/000141057823000924/baos-20221231x20f.htm" TargetMode="External"/><Relationship Id="rId16" Type="http://schemas.openxmlformats.org/officeDocument/2006/relationships/hyperlink" Target="https://www.sec.gov/Archives/edgar/data/1811216/000110465922108882/tm2227054d1_6k.htm" TargetMode="External"/><Relationship Id="rId17" Type="http://schemas.openxmlformats.org/officeDocument/2006/relationships/hyperlink" Target="https://www.sec.gov/Archives/edgar/data/1811216/000110465922108882/tm2227054d1_6k.htm" TargetMode="External"/><Relationship Id="rId18" Type="http://schemas.openxmlformats.org/officeDocument/2006/relationships/hyperlink" Target="https://www.sec.gov/Archives/edgar/data/1811216/000110465921010221/tm214907d1_8a12b.htm" TargetMode="External"/><Relationship Id="rId19" Type="http://schemas.openxmlformats.org/officeDocument/2006/relationships/hyperlink" Target="https://www.sec.gov/Archives/edgar/data/1811216/000110465921010221/tm214907d1_8a12b.htm" TargetMode="External"/><Relationship Id="rId20" Type="http://schemas.openxmlformats.org/officeDocument/2006/relationships/image" Target="media/image5.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80550</Words>
  <Characters>421379</Characters>
  <CharactersWithSpaces>501683</CharactersWithSpaces>
  <Paragraphs>4480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