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4638d1_6k.htm"/>
      <w:bookmarkStart w:id="1" w:name="kstm2624638d1_6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001-39977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Baosheng Media Group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East Floor 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No. 8, Xishanhui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Shijingshan District, Beijing 100041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+86-010-82088021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Postponement of Extraordinary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Media Group Holdings Limited (the “Company”) today announced that its extraordinary general meeting of shareholders originally scheduled to be held at 10:00 p.m. (Beijing time) on September 4, 2026 at East Floor 5, Building No. 8, Xishanhui, Shijingshan District, Beijing 100041, People’s Republic of China (the “Extraordinary General Meeting”) has been postponed indefinitely.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2026, the board of directors of the Company (the “Board”) resolved to call and convene the Extraordinary General Meeting. The proxy statement and notice of Extraordinary General Meeting, and the related form of proxy card, were previously furnished as Exhibits 99.1 and 99.2 to the Company’s Report on Form 6-K, which was furnished to the Securities and Exchange Commission on August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2026, the Board determined that it was in the best interests of the Company and its shareholders to postpone the Extraordinary General Meeting, and resolved to postpone the Extraordinary General Meeting indefinitely. The Board acted pursuant to Article 69 of the Company’s amended and restated memorandum and articles of association currently in effect, which provides that the directors may cancel or postpone any duly convened general meeting at any time prior to such meeting, other than a general meeting requisitioned by shareholders in accordance with those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Extraordinary General Meeting has not been convened, and no business has been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proxy cards submitted to the Company in respect of the Extraordinary General Meeting will be disregarded and will not be voted. Shareholders will be asked to vote again in respect of any matters submitted to a rescheduled extraordinary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announce the date, time and place of any rescheduled extraordinary general meeting, together with the record date for determining the shareholders entitled to receive notice of and to vote at that meeting, and will distribute a new proxy statement, notice and form of proxy card to shareholders, in each case in due course. Shareholders are not required to take any action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This report shall be deemed to be incorporated by reference into the registration statements on Form F-3 (File No. </w:t>
      </w:r>
      <w:hyperlink r:id="rId2">
        <w:r>
          <w:rPr>
            <w:rStyle w:val="InternetLink"/>
            <w:rFonts w:ascii="Times New Roman;Times;Serif" w:hAnsi="Times New Roman;Times;Serif"/>
            <w:b w:val="false"/>
            <w:i w:val="false"/>
            <w:caps w:val="false"/>
            <w:smallCaps w:val="false"/>
            <w:color w:val="0000FF"/>
            <w:sz w:val="20"/>
          </w:rPr>
          <w:t>333-273720</w:t>
        </w:r>
      </w:hyperlink>
      <w:r>
        <w:rPr>
          <w:rFonts w:ascii="Times New Roman;Times;Serif" w:hAnsi="Times New Roman;Times;Serif"/>
          <w:b w:val="false"/>
          <w:i w:val="false"/>
          <w:caps w:val="false"/>
          <w:smallCaps w:val="false"/>
          <w:sz w:val="20"/>
        </w:rPr>
        <w:t>) and Form S-8 (File No. </w:t>
      </w:r>
      <w:hyperlink r:id="rId3">
        <w:r>
          <w:rPr>
            <w:rStyle w:val="InternetLink"/>
            <w:rFonts w:ascii="Times New Roman;Times;Serif" w:hAnsi="Times New Roman;Times;Serif"/>
            <w:b w:val="false"/>
            <w:i w:val="false"/>
            <w:caps w:val="false"/>
            <w:smallCaps w:val="false"/>
            <w:color w:val="0000FF"/>
            <w:sz w:val="20"/>
          </w:rPr>
          <w:t>333-296887</w:t>
        </w:r>
      </w:hyperlink>
      <w:r>
        <w:rPr>
          <w:rFonts w:ascii="Times New Roman;Times;Serif" w:hAnsi="Times New Roman;Times;Serif"/>
          <w:b w:val="false"/>
          <w:i w:val="false"/>
          <w:caps w:val="false"/>
          <w:smallCaps w:val="false"/>
          <w:sz w:val="20"/>
        </w:rPr>
        <w:t>) of the Company, as amended, and to be a part thereof from the date on which this report is filed, to the extent not superseded by documents or reports subsequently filed or furnished.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center"/>
        <w:rPr>
          <w:caps w:val="false"/>
          <w:smallCaps w:val="false"/>
        </w:rPr>
      </w:pPr>
      <w:r>
        <w:rPr>
          <w:caps w:val="false"/>
          <w:smallCaps w:val="false"/>
        </w:rPr>
        <w:t> </w:t>
      </w:r>
    </w:p>
    <w:tbl>
      <w:tblPr>
        <w:tblW w:w="4225" w:type="dxa"/>
        <w:jc w:val="left"/>
        <w:tblInd w:w="0" w:type="dxa"/>
        <w:tblLayout w:type="fixed"/>
        <w:tblCellMar>
          <w:top w:w="0" w:type="dxa"/>
          <w:left w:w="0" w:type="dxa"/>
          <w:bottom w:w="28" w:type="dxa"/>
          <w:right w:w="0" w:type="dxa"/>
        </w:tblCellMar>
      </w:tblPr>
      <w:tblGrid>
        <w:gridCol w:w="995"/>
        <w:gridCol w:w="60"/>
        <w:gridCol w:w="3170"/>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both"/>
              <w:rPr/>
            </w:pPr>
            <w:r>
              <w:rPr/>
              <w:t> </w:t>
            </w:r>
          </w:p>
        </w:tc>
        <w:tc>
          <w:tcPr>
            <w:tcW w:w="3170"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both"/>
              <w:rPr/>
            </w:pPr>
            <w:hyperlink w:anchor="tm2624638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both"/>
              <w:rPr/>
            </w:pPr>
            <w:r>
              <w:rPr/>
              <w:t> </w:t>
            </w:r>
          </w:p>
        </w:tc>
        <w:tc>
          <w:tcPr>
            <w:tcW w:w="3170" w:type="dxa"/>
            <w:tcBorders/>
            <w:tcMar>
              <w:bottom w:w="0" w:type="dxa"/>
            </w:tcMar>
            <w:vAlign w:val="center"/>
          </w:tcPr>
          <w:p>
            <w:pPr>
              <w:pStyle w:val="TableContents"/>
              <w:bidi w:val="0"/>
              <w:spacing w:before="0" w:after="283"/>
              <w:jc w:val="both"/>
              <w:rPr/>
            </w:pPr>
            <w:hyperlink w:anchor="tm2624638d1_ex99-1.htm">
              <w:r>
                <w:rPr>
                  <w:rStyle w:val="InternetLink"/>
                  <w:rFonts w:ascii="Times New Roman;Times;Serif" w:hAnsi="Times New Roman;Times;Serif"/>
                  <w:sz w:val="20"/>
                </w:rPr>
                <w:t>Press Release dated September 2,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560"/>
        <w:gridCol w:w="4415"/>
        <w:gridCol w:w="75"/>
      </w:tblGrid>
      <w:tr>
        <w:trPr/>
        <w:tc>
          <w:tcPr>
            <w:tcW w:w="49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Baosheng Media Group Holdings Limited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Lina Jiang</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Lina Jiang</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Chairwoman of the Board and Chief Executive Officer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tm2624638d1_ex99-1.htm"/>
      <w:bookmarkStart w:id="3" w:name="kstm2624638d1_ex991"/>
      <w:bookmarkEnd w:id="2"/>
      <w:bookmarkEnd w:id="3"/>
      <w:r>
        <w:rPr>
          <w:b/>
        </w:rPr>
        <w:t>Exhibit 99.1</w:t>
      </w:r>
      <w:r>
        <w:br w:type="page"/>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Baosheng Media Announces Indefinite Postponement of 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BEIJING, Sept. 2, 2026</w:t>
      </w:r>
      <w:r>
        <w:rPr>
          <w:rFonts w:ascii="Times New Roman;Times;Serif" w:hAnsi="Times New Roman;Times;Serif"/>
          <w:b w:val="false"/>
          <w:i w:val="false"/>
          <w:caps w:val="false"/>
          <w:smallCaps w:val="false"/>
          <w:sz w:val="20"/>
        </w:rPr>
        <w:t xml:space="preserve"> — Baosheng Media Group Holdings Limited (NASDAQ: BAOS) (“Baosheng Group” or the “Company”) today announced that its board of directors (the “Board”) has unanimously approved, by written resolutions dated September 1, 2026, to postpone the Company’s extraordinary general meeting of shareholders previously scheduled for September 4, 2026 (the “EGM”) indefinitely.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EGM had been scheduled to be held on September 4, 2026 at 10:00 p.m. Beijing Time (10:00 a.m. U.S. Eastern Time) at East Floor 5, Building No. 8, Xishanhui, Shijingshan District, Beijing 100041, the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postponement of the EGM, any proxy cards previously submitted to the Company in connection with the EGM will be disregarded. Shareholders should not rely on proxy instructions submitted in respect of the EGM originally scheduled for September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provide further information regarding any rescheduled EGM, including the date, time, location, applicable record date, voting procedures and relevant shareholder materials, in accordance with applicable law, the Company’s memorandum and articles of association and applicable regulatory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Baosheng Media Group Holdings Limited (NASDAQ: BAOS)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Group is a native performance-marketing solutions provider focused on short-form video and social-media platforms. The Company is continuing its transition toward an AI-powered short-form video marketing technology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its proposed BAOS-AI platform, the Company is developing core capabilities in content generation, intelligent media placement, digital-human livestreaming, intelligent user insights, and AI-enabled overseas marketing. Baosheng Group aims to establish itself as a differentiated, vertically focused AI marketing technology company for short-form video within the U.S. public-equity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Celestia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Dave Leung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investors@celestiair.com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1216/000110465923087858/tm2322565d1_f3.htm" TargetMode="External"/><Relationship Id="rId3" Type="http://schemas.openxmlformats.org/officeDocument/2006/relationships/hyperlink" Target="https://www.sec.gov/Archives/edgar/data/1811216/000110465926075445/tm2618058d1_s8.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838</Words>
  <Characters>4807</Characters>
  <CharactersWithSpaces>5652</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